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pacing w:line="600" w:lineRule="exact"/>
        <w:ind w:left="0" w:leftChars="0"/>
        <w:jc w:val="center"/>
        <w:textAlignment w:val="auto"/>
        <w:rPr>
          <w:rFonts w:ascii="Times New Roman" w:hAnsi="Times New Roman" w:eastAsia="仿宋"/>
          <w:b w:val="0"/>
          <w:bCs w:val="0"/>
          <w:color w:val="000000" w:themeColor="text1"/>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pacing w:line="600" w:lineRule="exact"/>
        <w:ind w:left="0" w:leftChars="0"/>
        <w:jc w:val="center"/>
        <w:textAlignment w:val="auto"/>
        <w:rPr>
          <w:rFonts w:ascii="Times New Roman" w:hAnsi="Times New Roman" w:eastAsia="宋体"/>
          <w:b w:val="0"/>
          <w:bCs w:val="0"/>
          <w:color w:val="000000" w:themeColor="text1"/>
          <w:spacing w:val="0"/>
          <w:sz w:val="44"/>
          <w:szCs w:val="44"/>
          <w:lang w:val="en-US" w:eastAsia="zh-CN"/>
        </w:rPr>
      </w:pPr>
      <w:r>
        <w:rPr>
          <w:rFonts w:ascii="Times New Roman" w:hAnsi="Times New Roman" w:eastAsia="宋体"/>
          <w:b w:val="0"/>
          <w:bCs w:val="0"/>
          <w:color w:val="000000" w:themeColor="text1"/>
          <w:spacing w:val="0"/>
          <w:sz w:val="44"/>
          <w:szCs w:val="44"/>
          <w:lang w:val="en-US" w:eastAsia="zh-CN"/>
        </w:rPr>
        <w:t>薛城区村卫生室三年提升行动</w:t>
      </w:r>
      <w:r>
        <w:rPr>
          <w:rFonts w:ascii="Times New Roman" w:hAnsi="Times New Roman" w:eastAsia="宋体"/>
          <w:b w:val="0"/>
          <w:bCs w:val="0"/>
          <w:color w:val="000000" w:themeColor="text1"/>
          <w:spacing w:val="0"/>
          <w:sz w:val="44"/>
          <w:szCs w:val="44"/>
        </w:rPr>
        <w:t>实施</w:t>
      </w:r>
      <w:r>
        <w:rPr>
          <w:rFonts w:ascii="Times New Roman" w:hAnsi="Times New Roman" w:eastAsia="宋体"/>
          <w:b w:val="0"/>
          <w:bCs w:val="0"/>
          <w:color w:val="000000" w:themeColor="text1"/>
          <w:spacing w:val="0"/>
          <w:sz w:val="44"/>
          <w:szCs w:val="44"/>
          <w:lang w:val="en-US" w:eastAsia="zh-CN"/>
        </w:rPr>
        <w:t>方案</w:t>
      </w:r>
    </w:p>
    <w:p>
      <w:pPr>
        <w:keepNext w:val="0"/>
        <w:keepLines w:val="0"/>
        <w:pageBreakBefore w:val="0"/>
        <w:widowControl w:val="0"/>
        <w:kinsoku/>
        <w:wordWrap/>
        <w:overflowPunct w:val="0"/>
        <w:topLinePunct w:val="0"/>
        <w:autoSpaceDE/>
        <w:autoSpaceDN/>
        <w:bidi w:val="0"/>
        <w:adjustRightInd/>
        <w:spacing w:line="600" w:lineRule="exact"/>
        <w:ind w:left="0" w:leftChars="0"/>
        <w:jc w:val="center"/>
        <w:textAlignment w:val="auto"/>
        <w:rPr>
          <w:rFonts w:ascii="Times New Roman" w:hAnsi="Times New Roman" w:eastAsia="楷体"/>
          <w:b w:val="0"/>
          <w:bCs w:val="0"/>
          <w:color w:val="000000" w:themeColor="text1"/>
          <w:spacing w:val="0"/>
          <w:sz w:val="44"/>
          <w:szCs w:val="44"/>
        </w:rPr>
      </w:pPr>
      <w:r>
        <w:rPr>
          <w:rFonts w:ascii="Times New Roman" w:hAnsi="Times New Roman" w:eastAsia="楷体"/>
          <w:b w:val="0"/>
          <w:bCs w:val="0"/>
          <w:color w:val="000000" w:themeColor="text1"/>
          <w:spacing w:val="0"/>
          <w:sz w:val="44"/>
          <w:szCs w:val="44"/>
        </w:rPr>
        <w:t>（2024—2026年）</w:t>
      </w:r>
    </w:p>
    <w:p>
      <w:pPr>
        <w:keepNext w:val="0"/>
        <w:keepLines w:val="0"/>
        <w:pageBreakBefore w:val="0"/>
        <w:widowControl w:val="0"/>
        <w:kinsoku/>
        <w:wordWrap/>
        <w:overflowPunct w:val="0"/>
        <w:topLinePunct w:val="0"/>
        <w:autoSpaceDE/>
        <w:autoSpaceDN/>
        <w:bidi w:val="0"/>
        <w:adjustRightInd/>
        <w:spacing w:line="600" w:lineRule="exact"/>
        <w:ind w:left="0" w:leftChars="0"/>
        <w:jc w:val="center"/>
        <w:textAlignment w:val="auto"/>
        <w:rPr>
          <w:rFonts w:hint="eastAsia" w:ascii="Times New Roman" w:hAnsi="Times New Roman" w:eastAsia="楷体"/>
          <w:b w:val="0"/>
          <w:bCs w:val="0"/>
          <w:color w:val="000000" w:themeColor="text1"/>
          <w:spacing w:val="0"/>
          <w:sz w:val="32"/>
          <w:szCs w:val="32"/>
          <w:lang w:eastAsia="zh-CN"/>
        </w:rPr>
      </w:pPr>
      <w:r>
        <w:rPr>
          <w:rFonts w:hint="eastAsia" w:ascii="Times New Roman" w:hAnsi="Times New Roman" w:eastAsia="楷体"/>
          <w:b w:val="0"/>
          <w:bCs w:val="0"/>
          <w:color w:val="000000" w:themeColor="text1"/>
          <w:spacing w:val="0"/>
          <w:sz w:val="32"/>
          <w:szCs w:val="32"/>
          <w:lang w:eastAsia="zh-CN"/>
        </w:rPr>
        <w:t>（</w:t>
      </w:r>
      <w:r>
        <w:rPr>
          <w:rFonts w:hint="eastAsia" w:ascii="Times New Roman" w:hAnsi="Times New Roman" w:eastAsia="楷体"/>
          <w:b w:val="0"/>
          <w:bCs w:val="0"/>
          <w:color w:val="000000" w:themeColor="text1"/>
          <w:spacing w:val="0"/>
          <w:sz w:val="32"/>
          <w:szCs w:val="32"/>
          <w:lang w:val="en-US" w:eastAsia="zh-CN"/>
        </w:rPr>
        <w:t>征求意见稿</w:t>
      </w:r>
      <w:r>
        <w:rPr>
          <w:rFonts w:hint="eastAsia" w:ascii="Times New Roman" w:hAnsi="Times New Roman" w:eastAsia="楷体"/>
          <w:b w:val="0"/>
          <w:bCs w:val="0"/>
          <w:color w:val="000000" w:themeColor="text1"/>
          <w:spacing w:val="0"/>
          <w:sz w:val="32"/>
          <w:szCs w:val="32"/>
          <w:lang w:eastAsia="zh-CN"/>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left="0" w:leftChars="0" w:right="0" w:firstLine="618" w:firstLineChars="200"/>
        <w:jc w:val="both"/>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为贯彻落实枣庄市村卫生室三年提升行动</w:t>
      </w:r>
      <w:r>
        <w:rPr>
          <w:rFonts w:hint="eastAsia" w:ascii="Times New Roman" w:hAnsi="Times New Roman" w:eastAsia="仿宋"/>
          <w:b w:val="0"/>
          <w:bCs w:val="0"/>
          <w:color w:val="000000" w:themeColor="text1"/>
          <w:spacing w:val="0"/>
          <w:sz w:val="32"/>
          <w:szCs w:val="32"/>
          <w:lang w:val="en-US" w:eastAsia="zh-CN"/>
        </w:rPr>
        <w:t>工作部署，进一步</w:t>
      </w:r>
      <w:r>
        <w:rPr>
          <w:rFonts w:ascii="Times New Roman" w:hAnsi="Times New Roman" w:eastAsia="仿宋"/>
          <w:b w:val="0"/>
          <w:bCs w:val="0"/>
          <w:color w:val="000000" w:themeColor="text1"/>
          <w:spacing w:val="0"/>
          <w:sz w:val="32"/>
          <w:szCs w:val="32"/>
          <w:lang w:val="en-US" w:eastAsia="zh-CN"/>
        </w:rPr>
        <w:t>加强基层医疗卫生服务能力建设，</w:t>
      </w:r>
      <w:r>
        <w:rPr>
          <w:rFonts w:ascii="Times New Roman" w:hAnsi="Times New Roman" w:eastAsia="仿宋"/>
          <w:b w:val="0"/>
          <w:bCs w:val="0"/>
          <w:i w:val="0"/>
          <w:iCs w:val="0"/>
          <w:color w:val="000000" w:themeColor="text1"/>
          <w:spacing w:val="0"/>
          <w:sz w:val="32"/>
          <w:szCs w:val="32"/>
          <w:shd w:val="clear" w:color="auto" w:fill="FFFFFF"/>
          <w:lang w:val="en-US" w:eastAsia="zh-CN"/>
        </w:rPr>
        <w:t>夯实筑牢基层医疗服务保障体系，结合全区实际，制定本方案。</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黑体" w:hAnsi="黑体" w:eastAsia="黑体"/>
          <w:b w:val="0"/>
          <w:bCs w:val="0"/>
          <w:color w:val="000000" w:themeColor="text1"/>
          <w:spacing w:val="0"/>
          <w:sz w:val="32"/>
          <w:szCs w:val="32"/>
        </w:rPr>
      </w:pPr>
      <w:r>
        <w:rPr>
          <w:rFonts w:hint="eastAsia" w:ascii="黑体" w:hAnsi="黑体" w:eastAsia="黑体"/>
          <w:b w:val="0"/>
          <w:bCs w:val="0"/>
          <w:color w:val="000000" w:themeColor="text1"/>
          <w:spacing w:val="0"/>
          <w:sz w:val="32"/>
          <w:szCs w:val="32"/>
        </w:rPr>
        <w:t>一、总体要求</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以习近平新时代中国特色社会主义思想为指导，全面贯彻党的二十大精神，坚持以人民健康为中心，坚持基本医疗卫生事业公益性，</w:t>
      </w:r>
      <w:r>
        <w:rPr>
          <w:rFonts w:ascii="Times New Roman" w:hAnsi="Times New Roman" w:eastAsia="仿宋"/>
          <w:b w:val="0"/>
          <w:bCs w:val="0"/>
          <w:i w:val="0"/>
          <w:iCs w:val="0"/>
          <w:color w:val="000000" w:themeColor="text1"/>
          <w:spacing w:val="0"/>
          <w:sz w:val="32"/>
          <w:szCs w:val="32"/>
          <w:shd w:val="clear" w:color="auto" w:fill="FFFFFF"/>
          <w:lang w:val="en-US" w:eastAsia="zh-CN"/>
        </w:rPr>
        <w:t>紧紧围绕</w:t>
      </w:r>
      <w:r>
        <w:rPr>
          <w:rFonts w:ascii="Times New Roman" w:hAnsi="Times New Roman" w:eastAsia="仿宋"/>
          <w:b w:val="0"/>
          <w:bCs w:val="0"/>
          <w:color w:val="000000" w:themeColor="text1"/>
          <w:spacing w:val="0"/>
          <w:sz w:val="32"/>
          <w:szCs w:val="32"/>
        </w:rPr>
        <w:t>“以基层为重点”的新时代党的卫生与健康工作方针，</w:t>
      </w:r>
      <w:r>
        <w:rPr>
          <w:rFonts w:hint="eastAsia" w:ascii="Times New Roman" w:hAnsi="Times New Roman" w:eastAsia="仿宋"/>
          <w:b w:val="0"/>
          <w:bCs w:val="0"/>
          <w:color w:val="000000" w:themeColor="text1"/>
          <w:spacing w:val="0"/>
          <w:sz w:val="32"/>
          <w:szCs w:val="32"/>
          <w:lang w:val="en-US" w:eastAsia="zh-CN"/>
        </w:rPr>
        <w:t>全面</w:t>
      </w:r>
      <w:r>
        <w:rPr>
          <w:rFonts w:ascii="Times New Roman" w:hAnsi="Times New Roman" w:eastAsia="仿宋"/>
          <w:b w:val="0"/>
          <w:bCs w:val="0"/>
          <w:color w:val="000000" w:themeColor="text1"/>
          <w:spacing w:val="0"/>
          <w:sz w:val="32"/>
          <w:szCs w:val="32"/>
        </w:rPr>
        <w:t>落实</w:t>
      </w:r>
      <w:r>
        <w:rPr>
          <w:rFonts w:hint="eastAsia" w:ascii="Times New Roman" w:hAnsi="Times New Roman" w:eastAsia="仿宋"/>
          <w:b w:val="0"/>
          <w:bCs w:val="0"/>
          <w:color w:val="000000" w:themeColor="text1"/>
          <w:spacing w:val="0"/>
          <w:sz w:val="32"/>
          <w:szCs w:val="32"/>
          <w:lang w:val="en-US" w:eastAsia="zh-CN"/>
        </w:rPr>
        <w:t>国家和省、市乡村医疗卫生工作部署，</w:t>
      </w:r>
      <w:r>
        <w:rPr>
          <w:rFonts w:ascii="Times New Roman" w:hAnsi="Times New Roman" w:eastAsia="仿宋"/>
          <w:b w:val="0"/>
          <w:bCs w:val="0"/>
          <w:color w:val="000000" w:themeColor="text1"/>
          <w:spacing w:val="0"/>
          <w:sz w:val="32"/>
          <w:szCs w:val="32"/>
          <w:lang w:val="en-US" w:eastAsia="zh-CN"/>
        </w:rPr>
        <w:t>以</w:t>
      </w:r>
      <w:r>
        <w:rPr>
          <w:rFonts w:ascii="Times New Roman" w:hAnsi="Times New Roman" w:eastAsia="仿宋"/>
          <w:b w:val="0"/>
          <w:bCs w:val="0"/>
          <w:color w:val="000000" w:themeColor="text1"/>
          <w:spacing w:val="0"/>
          <w:sz w:val="32"/>
          <w:szCs w:val="32"/>
        </w:rPr>
        <w:t>村卫生室基础设施</w:t>
      </w:r>
      <w:r>
        <w:rPr>
          <w:rFonts w:hint="eastAsia" w:ascii="Times New Roman" w:hAnsi="Times New Roman" w:eastAsia="仿宋"/>
          <w:b w:val="0"/>
          <w:bCs w:val="0"/>
          <w:color w:val="000000" w:themeColor="text1"/>
          <w:spacing w:val="0"/>
          <w:sz w:val="32"/>
          <w:szCs w:val="32"/>
          <w:lang w:val="en-US" w:eastAsia="zh-CN"/>
        </w:rPr>
        <w:t>改善</w:t>
      </w:r>
      <w:r>
        <w:rPr>
          <w:rFonts w:ascii="Times New Roman" w:hAnsi="Times New Roman" w:eastAsia="仿宋"/>
          <w:b w:val="0"/>
          <w:bCs w:val="0"/>
          <w:color w:val="000000" w:themeColor="text1"/>
          <w:spacing w:val="0"/>
          <w:sz w:val="32"/>
          <w:szCs w:val="32"/>
        </w:rPr>
        <w:t>、服务能力</w:t>
      </w:r>
      <w:r>
        <w:rPr>
          <w:rFonts w:hint="eastAsia" w:ascii="Times New Roman" w:hAnsi="Times New Roman" w:eastAsia="仿宋"/>
          <w:b w:val="0"/>
          <w:bCs w:val="0"/>
          <w:color w:val="000000" w:themeColor="text1"/>
          <w:spacing w:val="0"/>
          <w:sz w:val="32"/>
          <w:szCs w:val="32"/>
          <w:lang w:val="en-US" w:eastAsia="zh-CN"/>
        </w:rPr>
        <w:t>提升</w:t>
      </w:r>
      <w:r>
        <w:rPr>
          <w:rFonts w:ascii="Times New Roman" w:hAnsi="Times New Roman" w:eastAsia="仿宋"/>
          <w:b w:val="0"/>
          <w:bCs w:val="0"/>
          <w:color w:val="000000" w:themeColor="text1"/>
          <w:spacing w:val="0"/>
          <w:sz w:val="32"/>
          <w:szCs w:val="32"/>
        </w:rPr>
        <w:t>、规范管理</w:t>
      </w:r>
      <w:r>
        <w:rPr>
          <w:rFonts w:hint="eastAsia" w:ascii="Times New Roman" w:hAnsi="Times New Roman" w:eastAsia="仿宋"/>
          <w:b w:val="0"/>
          <w:bCs w:val="0"/>
          <w:color w:val="000000" w:themeColor="text1"/>
          <w:spacing w:val="0"/>
          <w:sz w:val="32"/>
          <w:szCs w:val="32"/>
          <w:lang w:val="en-US" w:eastAsia="zh-CN"/>
        </w:rPr>
        <w:t>提质</w:t>
      </w:r>
      <w:r>
        <w:rPr>
          <w:rFonts w:ascii="Times New Roman" w:hAnsi="Times New Roman" w:eastAsia="仿宋"/>
          <w:b w:val="0"/>
          <w:bCs w:val="0"/>
          <w:color w:val="000000" w:themeColor="text1"/>
          <w:spacing w:val="0"/>
          <w:sz w:val="32"/>
          <w:szCs w:val="32"/>
        </w:rPr>
        <w:t>、保障</w:t>
      </w:r>
      <w:r>
        <w:rPr>
          <w:rFonts w:hint="eastAsia" w:ascii="Times New Roman" w:hAnsi="Times New Roman" w:eastAsia="仿宋"/>
          <w:b w:val="0"/>
          <w:bCs w:val="0"/>
          <w:color w:val="000000" w:themeColor="text1"/>
          <w:spacing w:val="0"/>
          <w:sz w:val="32"/>
          <w:szCs w:val="32"/>
          <w:lang w:val="en-US" w:eastAsia="zh-CN"/>
        </w:rPr>
        <w:t>机制推进</w:t>
      </w:r>
      <w:r>
        <w:rPr>
          <w:rFonts w:ascii="Times New Roman" w:hAnsi="Times New Roman" w:eastAsia="仿宋"/>
          <w:b w:val="0"/>
          <w:bCs w:val="0"/>
          <w:color w:val="000000" w:themeColor="text1"/>
          <w:spacing w:val="0"/>
          <w:sz w:val="32"/>
          <w:szCs w:val="32"/>
          <w:lang w:val="en-US" w:eastAsia="zh-CN"/>
        </w:rPr>
        <w:t>为重点</w:t>
      </w:r>
      <w:r>
        <w:rPr>
          <w:rFonts w:ascii="Times New Roman" w:hAnsi="Times New Roman" w:eastAsia="仿宋"/>
          <w:b w:val="0"/>
          <w:bCs w:val="0"/>
          <w:color w:val="000000" w:themeColor="text1"/>
          <w:spacing w:val="0"/>
          <w:sz w:val="32"/>
          <w:szCs w:val="32"/>
        </w:rPr>
        <w:t>，</w:t>
      </w:r>
      <w:r>
        <w:rPr>
          <w:rFonts w:hint="eastAsia" w:ascii="Times New Roman" w:hAnsi="Times New Roman" w:eastAsia="仿宋"/>
          <w:b w:val="0"/>
          <w:bCs w:val="0"/>
          <w:color w:val="000000" w:themeColor="text1"/>
          <w:spacing w:val="0"/>
          <w:sz w:val="32"/>
          <w:szCs w:val="32"/>
          <w:lang w:val="en-US" w:eastAsia="zh-CN"/>
        </w:rPr>
        <w:t>根据</w:t>
      </w:r>
      <w:r>
        <w:rPr>
          <w:rFonts w:ascii="Times New Roman" w:hAnsi="Times New Roman" w:eastAsia="仿宋"/>
          <w:b w:val="0"/>
          <w:bCs w:val="0"/>
          <w:color w:val="000000" w:themeColor="text1"/>
          <w:spacing w:val="0"/>
          <w:sz w:val="32"/>
          <w:szCs w:val="32"/>
          <w:lang w:val="en-US" w:eastAsia="zh-CN"/>
        </w:rPr>
        <w:t>规划的样板</w:t>
      </w:r>
      <w:r>
        <w:rPr>
          <w:rFonts w:hint="eastAsia" w:ascii="Times New Roman" w:hAnsi="Times New Roman" w:eastAsia="仿宋"/>
          <w:b w:val="0"/>
          <w:bCs w:val="0"/>
          <w:color w:val="000000" w:themeColor="text1"/>
          <w:spacing w:val="0"/>
          <w:sz w:val="32"/>
          <w:szCs w:val="32"/>
          <w:lang w:val="en-US" w:eastAsia="zh-CN"/>
        </w:rPr>
        <w:t>村</w:t>
      </w:r>
      <w:r>
        <w:rPr>
          <w:rFonts w:ascii="Times New Roman" w:hAnsi="Times New Roman" w:eastAsia="仿宋"/>
          <w:b w:val="0"/>
          <w:bCs w:val="0"/>
          <w:color w:val="000000" w:themeColor="text1"/>
          <w:spacing w:val="0"/>
          <w:sz w:val="32"/>
          <w:szCs w:val="32"/>
          <w:lang w:val="en-US" w:eastAsia="zh-CN"/>
        </w:rPr>
        <w:t>卫生室和划分的</w:t>
      </w:r>
      <w:r>
        <w:rPr>
          <w:rFonts w:hint="eastAsia" w:ascii="Times New Roman" w:hAnsi="Times New Roman" w:eastAsia="仿宋"/>
          <w:b w:val="0"/>
          <w:bCs w:val="0"/>
          <w:color w:val="000000" w:themeColor="text1"/>
          <w:spacing w:val="0"/>
          <w:sz w:val="32"/>
          <w:szCs w:val="32"/>
          <w:lang w:val="en-US" w:eastAsia="zh-CN"/>
        </w:rPr>
        <w:t>一般村</w:t>
      </w:r>
      <w:r>
        <w:rPr>
          <w:rFonts w:ascii="Times New Roman" w:hAnsi="Times New Roman" w:eastAsia="仿宋"/>
          <w:b w:val="0"/>
          <w:bCs w:val="0"/>
          <w:color w:val="000000" w:themeColor="text1"/>
          <w:spacing w:val="0"/>
          <w:sz w:val="32"/>
          <w:szCs w:val="32"/>
          <w:lang w:val="en-US" w:eastAsia="zh-CN"/>
        </w:rPr>
        <w:t>卫生室、薄弱</w:t>
      </w:r>
      <w:r>
        <w:rPr>
          <w:rFonts w:hint="eastAsia" w:ascii="Times New Roman" w:hAnsi="Times New Roman" w:eastAsia="仿宋"/>
          <w:b w:val="0"/>
          <w:bCs w:val="0"/>
          <w:color w:val="000000" w:themeColor="text1"/>
          <w:spacing w:val="0"/>
          <w:sz w:val="32"/>
          <w:szCs w:val="32"/>
          <w:lang w:val="en-US" w:eastAsia="zh-CN"/>
        </w:rPr>
        <w:t>村</w:t>
      </w:r>
      <w:r>
        <w:rPr>
          <w:rFonts w:ascii="Times New Roman" w:hAnsi="Times New Roman" w:eastAsia="仿宋"/>
          <w:b w:val="0"/>
          <w:bCs w:val="0"/>
          <w:color w:val="000000" w:themeColor="text1"/>
          <w:spacing w:val="0"/>
          <w:sz w:val="32"/>
          <w:szCs w:val="32"/>
          <w:lang w:val="en-US" w:eastAsia="zh-CN"/>
        </w:rPr>
        <w:t>卫生室，分类施策、“一室一策”，树样板、补短板、固底板，</w:t>
      </w:r>
      <w:r>
        <w:rPr>
          <w:rFonts w:hint="eastAsia" w:ascii="Times New Roman" w:hAnsi="Times New Roman" w:eastAsia="仿宋"/>
          <w:b w:val="0"/>
          <w:bCs w:val="0"/>
          <w:color w:val="000000" w:themeColor="text1"/>
          <w:spacing w:val="0"/>
          <w:sz w:val="32"/>
          <w:szCs w:val="32"/>
          <w:lang w:val="en-US" w:eastAsia="zh-CN"/>
        </w:rPr>
        <w:t>健全适应乡村特点、优质高效的医疗卫生体系，提升村卫生室基本医疗和基本公共卫生服务水平，更好满足农村群众卫生健康服务需求，</w:t>
      </w:r>
      <w:r>
        <w:rPr>
          <w:rFonts w:ascii="Times New Roman" w:hAnsi="Times New Roman" w:eastAsia="仿宋"/>
          <w:b w:val="0"/>
          <w:bCs w:val="0"/>
          <w:color w:val="000000" w:themeColor="text1"/>
          <w:spacing w:val="0"/>
          <w:sz w:val="32"/>
          <w:szCs w:val="32"/>
          <w:lang w:val="en-US" w:eastAsia="zh-CN"/>
        </w:rPr>
        <w:t>努力推动</w:t>
      </w:r>
      <w:r>
        <w:rPr>
          <w:rFonts w:ascii="Times New Roman" w:hAnsi="Times New Roman" w:eastAsia="仿宋"/>
          <w:b w:val="0"/>
          <w:bCs w:val="0"/>
          <w:color w:val="000000" w:themeColor="text1"/>
          <w:spacing w:val="0"/>
          <w:sz w:val="32"/>
          <w:szCs w:val="32"/>
        </w:rPr>
        <w:t>全</w:t>
      </w:r>
      <w:r>
        <w:rPr>
          <w:rFonts w:ascii="Times New Roman" w:hAnsi="Times New Roman" w:eastAsia="仿宋"/>
          <w:b w:val="0"/>
          <w:bCs w:val="0"/>
          <w:color w:val="000000" w:themeColor="text1"/>
          <w:spacing w:val="0"/>
          <w:sz w:val="32"/>
          <w:szCs w:val="32"/>
          <w:lang w:val="en-US" w:eastAsia="zh-CN"/>
        </w:rPr>
        <w:t>区</w:t>
      </w:r>
      <w:r>
        <w:rPr>
          <w:rFonts w:ascii="Times New Roman" w:hAnsi="Times New Roman" w:eastAsia="仿宋"/>
          <w:b w:val="0"/>
          <w:bCs w:val="0"/>
          <w:color w:val="000000" w:themeColor="text1"/>
          <w:spacing w:val="0"/>
          <w:sz w:val="32"/>
          <w:szCs w:val="32"/>
        </w:rPr>
        <w:t>村卫生室整体水平</w:t>
      </w:r>
      <w:r>
        <w:rPr>
          <w:rFonts w:hint="eastAsia" w:ascii="Times New Roman" w:hAnsi="Times New Roman" w:eastAsia="仿宋"/>
          <w:b w:val="0"/>
          <w:bCs w:val="0"/>
          <w:color w:val="000000" w:themeColor="text1"/>
          <w:spacing w:val="0"/>
          <w:sz w:val="32"/>
          <w:szCs w:val="32"/>
          <w:lang w:val="en-US" w:eastAsia="zh-CN"/>
        </w:rPr>
        <w:t>走在全市前列、争当全省示范</w:t>
      </w:r>
      <w:r>
        <w:rPr>
          <w:rFonts w:ascii="Times New Roman" w:hAnsi="Times New Roman" w:eastAsia="仿宋"/>
          <w:b w:val="0"/>
          <w:bCs w:val="0"/>
          <w:color w:val="000000" w:themeColor="text1"/>
          <w:spacing w:val="0"/>
          <w:sz w:val="32"/>
          <w:szCs w:val="32"/>
          <w:lang w:eastAsia="zh-CN"/>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w:t>
      </w:r>
      <w:r>
        <w:rPr>
          <w:rFonts w:ascii="Times New Roman" w:hAnsi="Times New Roman" w:eastAsia="仿宋"/>
          <w:b w:val="0"/>
          <w:bCs w:val="0"/>
          <w:color w:val="000000" w:themeColor="text1"/>
          <w:spacing w:val="0"/>
          <w:sz w:val="32"/>
          <w:szCs w:val="32"/>
          <w:lang w:val="en-US" w:eastAsia="zh-CN"/>
        </w:rPr>
        <w:t>到2026年底，</w:t>
      </w:r>
      <w:r>
        <w:rPr>
          <w:rFonts w:ascii="Times New Roman" w:hAnsi="Times New Roman" w:eastAsia="仿宋"/>
          <w:b w:val="0"/>
          <w:bCs w:val="0"/>
          <w:color w:val="000000" w:themeColor="text1"/>
          <w:spacing w:val="0"/>
          <w:sz w:val="32"/>
          <w:szCs w:val="32"/>
        </w:rPr>
        <w:t>样板村卫生室</w:t>
      </w:r>
      <w:r>
        <w:rPr>
          <w:rFonts w:ascii="Times New Roman" w:hAnsi="Times New Roman" w:eastAsia="仿宋"/>
          <w:b w:val="0"/>
          <w:bCs w:val="0"/>
          <w:color w:val="000000" w:themeColor="text1"/>
          <w:spacing w:val="0"/>
          <w:sz w:val="32"/>
          <w:szCs w:val="32"/>
          <w:lang w:val="en-US" w:eastAsia="zh-CN"/>
        </w:rPr>
        <w:t>达到20%以上</w:t>
      </w:r>
      <w:r>
        <w:rPr>
          <w:rFonts w:ascii="Times New Roman" w:hAnsi="Times New Roman" w:eastAsia="仿宋"/>
          <w:b w:val="0"/>
          <w:bCs w:val="0"/>
          <w:color w:val="000000" w:themeColor="text1"/>
          <w:spacing w:val="0"/>
          <w:sz w:val="32"/>
          <w:szCs w:val="32"/>
        </w:rPr>
        <w:t>，2024年、2025年、202</w:t>
      </w:r>
      <w:r>
        <w:rPr>
          <w:rFonts w:ascii="Times New Roman" w:hAnsi="Times New Roman" w:eastAsia="仿宋"/>
          <w:b w:val="0"/>
          <w:bCs w:val="0"/>
          <w:color w:val="000000" w:themeColor="text1"/>
          <w:spacing w:val="0"/>
          <w:sz w:val="32"/>
          <w:szCs w:val="32"/>
          <w:lang w:val="en-US" w:eastAsia="zh-CN"/>
        </w:rPr>
        <w:t>6年</w:t>
      </w:r>
      <w:r>
        <w:rPr>
          <w:rFonts w:hint="eastAsia" w:ascii="Times New Roman" w:hAnsi="Times New Roman" w:eastAsia="仿宋"/>
          <w:b w:val="0"/>
          <w:bCs w:val="0"/>
          <w:color w:val="000000" w:themeColor="text1"/>
          <w:spacing w:val="0"/>
          <w:sz w:val="32"/>
          <w:szCs w:val="32"/>
          <w:lang w:val="en-US" w:eastAsia="zh-CN"/>
        </w:rPr>
        <w:t>分别达到15个、30个、45个</w:t>
      </w:r>
      <w:r>
        <w:rPr>
          <w:rFonts w:ascii="Times New Roman" w:hAnsi="Times New Roman" w:eastAsia="仿宋"/>
          <w:b w:val="0"/>
          <w:bCs w:val="0"/>
          <w:color w:val="000000" w:themeColor="text1"/>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w:t>
      </w:r>
      <w:r>
        <w:rPr>
          <w:rFonts w:ascii="Times New Roman" w:hAnsi="Times New Roman" w:eastAsia="仿宋"/>
          <w:b w:val="0"/>
          <w:bCs w:val="0"/>
          <w:color w:val="000000" w:themeColor="text1"/>
          <w:spacing w:val="0"/>
          <w:sz w:val="32"/>
          <w:szCs w:val="32"/>
          <w:lang w:val="en-US" w:eastAsia="zh-CN"/>
        </w:rPr>
        <w:t>到2025年</w:t>
      </w:r>
      <w:r>
        <w:rPr>
          <w:rFonts w:hint="eastAsia" w:ascii="Times New Roman" w:hAnsi="Times New Roman" w:eastAsia="仿宋"/>
          <w:b w:val="0"/>
          <w:bCs w:val="0"/>
          <w:color w:val="000000" w:themeColor="text1"/>
          <w:spacing w:val="0"/>
          <w:sz w:val="32"/>
          <w:szCs w:val="32"/>
          <w:lang w:val="en-US" w:eastAsia="zh-CN"/>
        </w:rPr>
        <w:t>6月底</w:t>
      </w:r>
      <w:r>
        <w:rPr>
          <w:rFonts w:ascii="Times New Roman" w:hAnsi="Times New Roman" w:eastAsia="仿宋"/>
          <w:b w:val="0"/>
          <w:bCs w:val="0"/>
          <w:color w:val="000000" w:themeColor="text1"/>
          <w:spacing w:val="0"/>
          <w:sz w:val="32"/>
          <w:szCs w:val="32"/>
          <w:lang w:val="en-US" w:eastAsia="zh-CN"/>
        </w:rPr>
        <w:t>，</w:t>
      </w:r>
      <w:r>
        <w:rPr>
          <w:rFonts w:ascii="Times New Roman" w:hAnsi="Times New Roman" w:eastAsia="仿宋"/>
          <w:b w:val="0"/>
          <w:bCs w:val="0"/>
          <w:color w:val="000000" w:themeColor="text1"/>
          <w:spacing w:val="0"/>
          <w:sz w:val="32"/>
          <w:szCs w:val="32"/>
        </w:rPr>
        <w:t>一体化村卫生室（含村卫生室服务点）房屋产权公有化率达到</w:t>
      </w:r>
      <w:r>
        <w:rPr>
          <w:rFonts w:ascii="Times New Roman" w:hAnsi="Times New Roman" w:eastAsia="仿宋"/>
          <w:b w:val="0"/>
          <w:bCs w:val="0"/>
          <w:color w:val="000000" w:themeColor="text1"/>
          <w:spacing w:val="0"/>
          <w:sz w:val="32"/>
          <w:szCs w:val="32"/>
          <w:lang w:val="en-US" w:eastAsia="zh-CN"/>
        </w:rPr>
        <w:t>10</w:t>
      </w:r>
      <w:r>
        <w:rPr>
          <w:rFonts w:ascii="Times New Roman" w:hAnsi="Times New Roman" w:eastAsia="仿宋"/>
          <w:b w:val="0"/>
          <w:bCs w:val="0"/>
          <w:color w:val="000000" w:themeColor="text1"/>
          <w:spacing w:val="0"/>
          <w:sz w:val="32"/>
          <w:szCs w:val="32"/>
        </w:rPr>
        <w:t>0%</w:t>
      </w:r>
      <w:r>
        <w:rPr>
          <w:rFonts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2024年达到</w:t>
      </w:r>
      <w:r>
        <w:rPr>
          <w:rFonts w:hint="eastAsia" w:ascii="Times New Roman" w:hAnsi="Times New Roman" w:eastAsia="仿宋"/>
          <w:b w:val="0"/>
          <w:bCs w:val="0"/>
          <w:color w:val="000000" w:themeColor="text1"/>
          <w:spacing w:val="0"/>
          <w:sz w:val="32"/>
          <w:szCs w:val="32"/>
          <w:lang w:val="en-US" w:eastAsia="zh-CN"/>
        </w:rPr>
        <w:t>90</w:t>
      </w:r>
      <w:r>
        <w:rPr>
          <w:rFonts w:ascii="Times New Roman" w:hAnsi="Times New Roman" w:eastAsia="仿宋"/>
          <w:b w:val="0"/>
          <w:bCs w:val="0"/>
          <w:color w:val="000000" w:themeColor="text1"/>
          <w:spacing w:val="0"/>
          <w:sz w:val="32"/>
          <w:szCs w:val="32"/>
        </w:rPr>
        <w:t>%</w:t>
      </w:r>
      <w:r>
        <w:rPr>
          <w:rFonts w:ascii="Times New Roman" w:hAnsi="Times New Roman" w:eastAsia="仿宋"/>
          <w:b w:val="0"/>
          <w:bCs w:val="0"/>
          <w:color w:val="000000" w:themeColor="text1"/>
          <w:spacing w:val="0"/>
          <w:sz w:val="32"/>
          <w:szCs w:val="32"/>
          <w:lang w:val="en-US" w:eastAsia="zh-CN"/>
        </w:rPr>
        <w:t>左右</w:t>
      </w:r>
      <w:r>
        <w:rPr>
          <w:rFonts w:ascii="Times New Roman" w:hAnsi="Times New Roman" w:eastAsia="仿宋"/>
          <w:b w:val="0"/>
          <w:bCs w:val="0"/>
          <w:color w:val="000000" w:themeColor="text1"/>
          <w:spacing w:val="0"/>
          <w:sz w:val="32"/>
          <w:szCs w:val="32"/>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w:t>
      </w:r>
      <w:r>
        <w:rPr>
          <w:rFonts w:ascii="Times New Roman" w:hAnsi="Times New Roman" w:eastAsia="仿宋"/>
          <w:b w:val="0"/>
          <w:bCs w:val="0"/>
          <w:color w:val="000000" w:themeColor="text1"/>
          <w:spacing w:val="0"/>
          <w:sz w:val="32"/>
          <w:szCs w:val="32"/>
          <w:lang w:val="en-US" w:eastAsia="zh-CN"/>
        </w:rPr>
        <w:t>到2026年底，</w:t>
      </w:r>
      <w:r>
        <w:rPr>
          <w:rFonts w:ascii="Times New Roman" w:hAnsi="Times New Roman" w:eastAsia="仿宋"/>
          <w:b w:val="0"/>
          <w:bCs w:val="0"/>
          <w:color w:val="000000" w:themeColor="text1"/>
          <w:spacing w:val="0"/>
          <w:sz w:val="32"/>
          <w:szCs w:val="32"/>
        </w:rPr>
        <w:t>具备执业（助理）医师资格（含乡村全科执业助理医师）的乡村医生占比达到60%，2024年、2025年分别达到50%、55%。</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sz w:val="32"/>
          <w:szCs w:val="32"/>
          <w:lang w:val="en-US" w:eastAsia="zh-CN"/>
        </w:rPr>
        <w:t>到2025年底，</w:t>
      </w:r>
      <w:r>
        <w:rPr>
          <w:rFonts w:ascii="Times New Roman" w:hAnsi="Times New Roman" w:eastAsia="仿宋"/>
          <w:b w:val="0"/>
          <w:bCs w:val="0"/>
          <w:color w:val="000000" w:themeColor="text1"/>
          <w:spacing w:val="0"/>
          <w:sz w:val="32"/>
          <w:szCs w:val="32"/>
        </w:rPr>
        <w:t>识别和初步诊治20种及以上常见病、多发病的村卫生室占比达到</w:t>
      </w:r>
      <w:r>
        <w:rPr>
          <w:rFonts w:ascii="Times New Roman" w:hAnsi="Times New Roman" w:eastAsia="仿宋"/>
          <w:b w:val="0"/>
          <w:bCs w:val="0"/>
          <w:color w:val="000000" w:themeColor="text1"/>
          <w:spacing w:val="0"/>
          <w:sz w:val="32"/>
          <w:szCs w:val="32"/>
          <w:lang w:val="en-US" w:eastAsia="zh-CN"/>
        </w:rPr>
        <w:t>10</w:t>
      </w:r>
      <w:r>
        <w:rPr>
          <w:rFonts w:ascii="Times New Roman" w:hAnsi="Times New Roman" w:eastAsia="仿宋"/>
          <w:b w:val="0"/>
          <w:bCs w:val="0"/>
          <w:color w:val="000000" w:themeColor="text1"/>
          <w:spacing w:val="0"/>
          <w:sz w:val="32"/>
          <w:szCs w:val="32"/>
        </w:rPr>
        <w:t>0%，2024年达到95%。</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sz w:val="32"/>
          <w:szCs w:val="32"/>
          <w:lang w:val="en-US" w:eastAsia="zh-CN"/>
        </w:rPr>
        <w:t>到2026年底，</w:t>
      </w:r>
      <w:r>
        <w:rPr>
          <w:rFonts w:ascii="Times New Roman" w:hAnsi="Times New Roman" w:eastAsia="仿宋"/>
          <w:b w:val="0"/>
          <w:bCs w:val="0"/>
          <w:color w:val="000000" w:themeColor="text1"/>
          <w:spacing w:val="0"/>
          <w:kern w:val="0"/>
          <w:sz w:val="32"/>
          <w:szCs w:val="32"/>
        </w:rPr>
        <w:t>规范开展中医药适宜技术的村卫生室占比</w:t>
      </w:r>
      <w:r>
        <w:rPr>
          <w:rFonts w:ascii="Times New Roman" w:hAnsi="Times New Roman" w:eastAsia="仿宋"/>
          <w:b w:val="0"/>
          <w:bCs w:val="0"/>
          <w:color w:val="000000" w:themeColor="text1"/>
          <w:spacing w:val="0"/>
          <w:sz w:val="32"/>
          <w:szCs w:val="32"/>
        </w:rPr>
        <w:t>达到</w:t>
      </w:r>
      <w:r>
        <w:rPr>
          <w:rFonts w:hint="eastAsia" w:ascii="Times New Roman" w:hAnsi="Times New Roman" w:eastAsia="仿宋"/>
          <w:b w:val="0"/>
          <w:bCs w:val="0"/>
          <w:color w:val="000000" w:themeColor="text1"/>
          <w:spacing w:val="0"/>
          <w:kern w:val="0"/>
          <w:sz w:val="32"/>
          <w:szCs w:val="32"/>
          <w:lang w:val="en-US" w:eastAsia="zh-CN"/>
        </w:rPr>
        <w:t>95</w:t>
      </w: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sz w:val="32"/>
          <w:szCs w:val="32"/>
        </w:rPr>
        <w:t>2024年、2025年</w:t>
      </w:r>
      <w:r>
        <w:rPr>
          <w:rFonts w:ascii="Times New Roman" w:hAnsi="Times New Roman" w:eastAsia="仿宋"/>
          <w:b w:val="0"/>
          <w:bCs w:val="0"/>
          <w:color w:val="000000" w:themeColor="text1"/>
          <w:spacing w:val="0"/>
          <w:kern w:val="0"/>
          <w:sz w:val="32"/>
          <w:szCs w:val="32"/>
        </w:rPr>
        <w:t>分别达到85%、9</w:t>
      </w:r>
      <w:r>
        <w:rPr>
          <w:rFonts w:hint="eastAsia" w:ascii="Times New Roman" w:hAnsi="Times New Roman" w:eastAsia="仿宋"/>
          <w:b w:val="0"/>
          <w:bCs w:val="0"/>
          <w:color w:val="000000" w:themeColor="text1"/>
          <w:spacing w:val="0"/>
          <w:kern w:val="0"/>
          <w:sz w:val="32"/>
          <w:szCs w:val="32"/>
          <w:lang w:val="en-US" w:eastAsia="zh-CN"/>
        </w:rPr>
        <w:t>0</w:t>
      </w:r>
      <w:r>
        <w:rPr>
          <w:rFonts w:ascii="Times New Roman" w:hAnsi="Times New Roman" w:eastAsia="仿宋"/>
          <w:b w:val="0"/>
          <w:bCs w:val="0"/>
          <w:color w:val="000000" w:themeColor="text1"/>
          <w:spacing w:val="0"/>
          <w:kern w:val="0"/>
          <w:sz w:val="32"/>
          <w:szCs w:val="32"/>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黑体" w:hAnsi="黑体" w:eastAsia="黑体"/>
          <w:b w:val="0"/>
          <w:bCs w:val="0"/>
          <w:color w:val="000000" w:themeColor="text1"/>
          <w:spacing w:val="0"/>
          <w:sz w:val="32"/>
          <w:szCs w:val="32"/>
        </w:rPr>
      </w:pPr>
      <w:r>
        <w:rPr>
          <w:rFonts w:hint="eastAsia" w:ascii="黑体" w:hAnsi="黑体" w:eastAsia="黑体"/>
          <w:b w:val="0"/>
          <w:bCs w:val="0"/>
          <w:color w:val="000000" w:themeColor="text1"/>
          <w:spacing w:val="0"/>
          <w:sz w:val="32"/>
          <w:szCs w:val="32"/>
        </w:rPr>
        <w:t>二、重点任务</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楷体" w:hAnsi="楷体" w:eastAsia="楷体"/>
          <w:b w:val="0"/>
          <w:bCs w:val="0"/>
          <w:color w:val="000000" w:themeColor="text1"/>
          <w:spacing w:val="0"/>
          <w:sz w:val="32"/>
          <w:szCs w:val="32"/>
          <w:lang w:eastAsia="zh-CN"/>
        </w:rPr>
      </w:pPr>
      <w:r>
        <w:rPr>
          <w:rFonts w:hint="eastAsia" w:ascii="楷体" w:hAnsi="楷体" w:eastAsia="楷体"/>
          <w:b w:val="0"/>
          <w:bCs w:val="0"/>
          <w:color w:val="000000" w:themeColor="text1"/>
          <w:spacing w:val="0"/>
          <w:sz w:val="32"/>
          <w:szCs w:val="32"/>
          <w:lang w:eastAsia="zh-CN"/>
        </w:rPr>
        <w:t>（</w:t>
      </w:r>
      <w:r>
        <w:rPr>
          <w:rFonts w:hint="eastAsia" w:ascii="楷体" w:hAnsi="楷体" w:eastAsia="楷体"/>
          <w:b w:val="0"/>
          <w:bCs w:val="0"/>
          <w:color w:val="000000" w:themeColor="text1"/>
          <w:spacing w:val="0"/>
          <w:sz w:val="32"/>
          <w:szCs w:val="32"/>
          <w:lang w:val="en-US" w:eastAsia="zh-CN"/>
        </w:rPr>
        <w:t>一</w:t>
      </w:r>
      <w:r>
        <w:rPr>
          <w:rFonts w:hint="eastAsia" w:ascii="楷体" w:hAnsi="楷体" w:eastAsia="楷体"/>
          <w:b w:val="0"/>
          <w:bCs w:val="0"/>
          <w:color w:val="000000" w:themeColor="text1"/>
          <w:spacing w:val="0"/>
          <w:sz w:val="32"/>
          <w:szCs w:val="32"/>
          <w:lang w:eastAsia="zh-CN"/>
        </w:rPr>
        <w:t>）</w:t>
      </w:r>
      <w:r>
        <w:rPr>
          <w:rFonts w:hint="eastAsia" w:ascii="楷体" w:hAnsi="楷体" w:eastAsia="楷体"/>
          <w:b w:val="0"/>
          <w:bCs w:val="0"/>
          <w:color w:val="000000" w:themeColor="text1"/>
          <w:spacing w:val="0"/>
          <w:sz w:val="32"/>
          <w:szCs w:val="32"/>
          <w:lang w:val="en-US" w:eastAsia="zh-CN"/>
        </w:rPr>
        <w:t>实施村卫生室基础设施改善行动</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1、创建一批样板村卫生室。</w:t>
      </w:r>
      <w:r>
        <w:rPr>
          <w:rFonts w:ascii="Times New Roman" w:hAnsi="Times New Roman" w:eastAsia="仿宋"/>
          <w:b w:val="0"/>
          <w:bCs w:val="0"/>
          <w:color w:val="000000" w:themeColor="text1"/>
          <w:spacing w:val="0"/>
          <w:kern w:val="0"/>
          <w:sz w:val="32"/>
          <w:szCs w:val="32"/>
        </w:rPr>
        <w:t>综合考虑村庄分布、区位交通、基础条件、群众需求、服务现状、示范效果等因素，</w:t>
      </w:r>
      <w:r>
        <w:rPr>
          <w:rFonts w:ascii="Times New Roman" w:hAnsi="Times New Roman" w:eastAsia="仿宋"/>
          <w:b w:val="0"/>
          <w:bCs w:val="0"/>
          <w:color w:val="000000" w:themeColor="text1"/>
          <w:spacing w:val="0"/>
          <w:sz w:val="32"/>
          <w:szCs w:val="32"/>
          <w:lang w:val="en-US" w:eastAsia="zh-CN"/>
        </w:rPr>
        <w:t>科学精准确定样板村卫生室建设提升对象</w:t>
      </w:r>
      <w:r>
        <w:rPr>
          <w:rFonts w:hint="eastAsia" w:ascii="Times New Roman" w:hAnsi="Times New Roman" w:eastAsia="仿宋"/>
          <w:b w:val="0"/>
          <w:bCs w:val="0"/>
          <w:color w:val="000000" w:themeColor="text1"/>
          <w:spacing w:val="0"/>
          <w:sz w:val="32"/>
          <w:szCs w:val="32"/>
          <w:lang w:val="en-US" w:eastAsia="zh-CN"/>
        </w:rPr>
        <w:t>。</w:t>
      </w:r>
      <w:r>
        <w:rPr>
          <w:rFonts w:ascii="Times New Roman" w:hAnsi="Times New Roman" w:eastAsia="仿宋"/>
          <w:b w:val="0"/>
          <w:bCs w:val="0"/>
          <w:color w:val="000000" w:themeColor="text1"/>
          <w:spacing w:val="0"/>
          <w:sz w:val="32"/>
          <w:szCs w:val="32"/>
          <w:lang w:val="en-US" w:eastAsia="zh-CN"/>
        </w:rPr>
        <w:t>按照《枣庄市样板村卫生室建设标准》《枣庄市样板村卫生室中医阁建设标准》，因地制宜、一村一策，着力提升房屋建设、设备配置、人员配备、服务功能和运行管理的标准化水平。在市级财政补助的基础上，区级财政按照每</w:t>
      </w:r>
      <w:r>
        <w:rPr>
          <w:rFonts w:hint="eastAsia" w:ascii="Times New Roman" w:hAnsi="Times New Roman" w:eastAsia="仿宋"/>
          <w:b w:val="0"/>
          <w:bCs w:val="0"/>
          <w:color w:val="000000" w:themeColor="text1"/>
          <w:spacing w:val="0"/>
          <w:sz w:val="32"/>
          <w:szCs w:val="32"/>
          <w:lang w:val="en-US" w:eastAsia="zh-CN"/>
        </w:rPr>
        <w:t>个样板村卫生室10</w:t>
      </w:r>
      <w:r>
        <w:rPr>
          <w:rFonts w:ascii="Times New Roman" w:hAnsi="Times New Roman" w:eastAsia="仿宋"/>
          <w:b w:val="0"/>
          <w:bCs w:val="0"/>
          <w:color w:val="000000" w:themeColor="text1"/>
          <w:spacing w:val="0"/>
          <w:sz w:val="32"/>
          <w:szCs w:val="32"/>
          <w:lang w:val="en-US" w:eastAsia="zh-CN"/>
        </w:rPr>
        <w:t>万元的标准</w:t>
      </w:r>
      <w:r>
        <w:rPr>
          <w:rFonts w:hint="eastAsia" w:ascii="Times New Roman" w:hAnsi="Times New Roman" w:eastAsia="仿宋"/>
          <w:b w:val="0"/>
          <w:bCs w:val="0"/>
          <w:color w:val="000000" w:themeColor="text1"/>
          <w:spacing w:val="0"/>
          <w:sz w:val="32"/>
          <w:szCs w:val="32"/>
          <w:lang w:val="en-US" w:eastAsia="zh-CN"/>
        </w:rPr>
        <w:t>拨付奖补资金</w:t>
      </w:r>
      <w:r>
        <w:rPr>
          <w:rFonts w:ascii="Times New Roman" w:hAnsi="Times New Roman" w:eastAsia="仿宋"/>
          <w:b w:val="0"/>
          <w:bCs w:val="0"/>
          <w:color w:val="000000" w:themeColor="text1"/>
          <w:spacing w:val="0"/>
          <w:sz w:val="32"/>
          <w:szCs w:val="32"/>
          <w:lang w:val="en-US" w:eastAsia="zh-CN"/>
        </w:rPr>
        <w:t>，差额部分由各镇（街）</w:t>
      </w:r>
      <w:r>
        <w:rPr>
          <w:rFonts w:hint="eastAsia" w:ascii="Times New Roman" w:hAnsi="Times New Roman" w:eastAsia="仿宋"/>
          <w:b w:val="0"/>
          <w:bCs w:val="0"/>
          <w:color w:val="000000" w:themeColor="text1"/>
          <w:spacing w:val="0"/>
          <w:sz w:val="32"/>
          <w:szCs w:val="32"/>
          <w:lang w:val="en-US" w:eastAsia="zh-CN"/>
        </w:rPr>
        <w:t>予以保障</w:t>
      </w:r>
      <w:r>
        <w:rPr>
          <w:rFonts w:ascii="Times New Roman" w:hAnsi="Times New Roman" w:eastAsia="仿宋"/>
          <w:b w:val="0"/>
          <w:bCs w:val="0"/>
          <w:color w:val="000000" w:themeColor="text1"/>
          <w:spacing w:val="0"/>
          <w:sz w:val="32"/>
          <w:szCs w:val="32"/>
          <w:lang w:val="en-US" w:eastAsia="zh-CN"/>
        </w:rPr>
        <w:t>。</w:t>
      </w:r>
      <w:r>
        <w:rPr>
          <w:rFonts w:ascii="Times New Roman" w:hAnsi="Times New Roman" w:eastAsia="楷体"/>
          <w:b w:val="0"/>
          <w:bCs w:val="0"/>
          <w:color w:val="000000" w:themeColor="text1"/>
          <w:spacing w:val="0"/>
          <w:sz w:val="32"/>
          <w:szCs w:val="32"/>
        </w:rPr>
        <w:t>（责任单位：</w:t>
      </w:r>
      <w:r>
        <w:rPr>
          <w:rFonts w:ascii="Times New Roman" w:hAnsi="Times New Roman" w:eastAsia="楷体"/>
          <w:b w:val="0"/>
          <w:bCs w:val="0"/>
          <w:color w:val="000000" w:themeColor="text1"/>
          <w:spacing w:val="0"/>
          <w:sz w:val="32"/>
          <w:szCs w:val="32"/>
          <w:lang w:val="en-US" w:eastAsia="zh-CN"/>
        </w:rPr>
        <w:t>区</w:t>
      </w:r>
      <w:r>
        <w:rPr>
          <w:rFonts w:ascii="Times New Roman" w:hAnsi="Times New Roman" w:eastAsia="楷体"/>
          <w:b w:val="0"/>
          <w:bCs w:val="0"/>
          <w:color w:val="000000" w:themeColor="text1"/>
          <w:spacing w:val="0"/>
          <w:sz w:val="32"/>
          <w:szCs w:val="32"/>
        </w:rPr>
        <w:t>卫健</w:t>
      </w:r>
      <w:r>
        <w:rPr>
          <w:rFonts w:ascii="Times New Roman" w:hAnsi="Times New Roman" w:eastAsia="楷体"/>
          <w:b w:val="0"/>
          <w:bCs w:val="0"/>
          <w:color w:val="000000" w:themeColor="text1"/>
          <w:spacing w:val="0"/>
          <w:sz w:val="32"/>
          <w:szCs w:val="32"/>
          <w:lang w:val="en-US" w:eastAsia="zh-CN"/>
        </w:rPr>
        <w:t>局</w:t>
      </w:r>
      <w:r>
        <w:rPr>
          <w:rFonts w:ascii="Times New Roman" w:hAnsi="Times New Roman" w:eastAsia="楷体"/>
          <w:b w:val="0"/>
          <w:bCs w:val="0"/>
          <w:color w:val="000000" w:themeColor="text1"/>
          <w:spacing w:val="0"/>
          <w:sz w:val="32"/>
          <w:szCs w:val="32"/>
        </w:rPr>
        <w:t>、</w:t>
      </w:r>
      <w:r>
        <w:rPr>
          <w:rFonts w:ascii="Times New Roman" w:hAnsi="Times New Roman" w:eastAsia="楷体"/>
          <w:b w:val="0"/>
          <w:bCs w:val="0"/>
          <w:color w:val="000000" w:themeColor="text1"/>
          <w:spacing w:val="0"/>
          <w:sz w:val="32"/>
          <w:szCs w:val="32"/>
          <w:lang w:val="en-US" w:eastAsia="zh-CN"/>
        </w:rPr>
        <w:t>区</w:t>
      </w:r>
      <w:r>
        <w:rPr>
          <w:rFonts w:ascii="Times New Roman" w:hAnsi="Times New Roman" w:eastAsia="楷体"/>
          <w:b w:val="0"/>
          <w:bCs w:val="0"/>
          <w:color w:val="000000" w:themeColor="text1"/>
          <w:spacing w:val="0"/>
          <w:sz w:val="32"/>
          <w:szCs w:val="32"/>
        </w:rPr>
        <w:t>财政局、</w:t>
      </w:r>
      <w:r>
        <w:rPr>
          <w:rFonts w:ascii="Times New Roman" w:hAnsi="Times New Roman" w:eastAsia="楷体"/>
          <w:b w:val="0"/>
          <w:bCs w:val="0"/>
          <w:color w:val="000000" w:themeColor="text1"/>
          <w:spacing w:val="0"/>
          <w:sz w:val="32"/>
          <w:szCs w:val="32"/>
          <w:lang w:val="en-US" w:eastAsia="zh-CN"/>
        </w:rPr>
        <w:t>区</w:t>
      </w:r>
      <w:r>
        <w:rPr>
          <w:rFonts w:ascii="Times New Roman" w:hAnsi="Times New Roman" w:eastAsia="楷体"/>
          <w:b w:val="0"/>
          <w:bCs w:val="0"/>
          <w:color w:val="000000" w:themeColor="text1"/>
          <w:spacing w:val="0"/>
          <w:sz w:val="32"/>
          <w:szCs w:val="32"/>
        </w:rPr>
        <w:t>自然资源局</w:t>
      </w:r>
      <w:r>
        <w:rPr>
          <w:rFonts w:ascii="Times New Roman" w:hAnsi="Times New Roman" w:eastAsia="楷体"/>
          <w:b w:val="0"/>
          <w:bCs w:val="0"/>
          <w:color w:val="000000" w:themeColor="text1"/>
          <w:spacing w:val="0"/>
          <w:sz w:val="32"/>
          <w:szCs w:val="32"/>
          <w:lang w:eastAsia="zh-CN"/>
        </w:rPr>
        <w:t>、</w:t>
      </w:r>
      <w:r>
        <w:rPr>
          <w:rFonts w:hint="eastAsia" w:ascii="楷体" w:hAnsi="楷体" w:eastAsia="楷体"/>
          <w:b w:val="0"/>
          <w:bCs w:val="0"/>
          <w:color w:val="000000" w:themeColor="text1"/>
          <w:spacing w:val="0"/>
          <w:sz w:val="32"/>
          <w:szCs w:val="32"/>
          <w:lang w:val="en-US" w:eastAsia="zh-CN"/>
        </w:rPr>
        <w:t>薛城规划中心、</w:t>
      </w:r>
      <w:r>
        <w:rPr>
          <w:rFonts w:ascii="Times New Roman" w:hAnsi="Times New Roman" w:eastAsia="楷体"/>
          <w:b w:val="0"/>
          <w:bCs w:val="0"/>
          <w:color w:val="000000" w:themeColor="text1"/>
          <w:spacing w:val="0"/>
          <w:sz w:val="32"/>
          <w:szCs w:val="32"/>
        </w:rPr>
        <w:t>各</w:t>
      </w:r>
      <w:r>
        <w:rPr>
          <w:rFonts w:ascii="Times New Roman" w:hAnsi="Times New Roman" w:eastAsia="楷体"/>
          <w:b w:val="0"/>
          <w:bCs w:val="0"/>
          <w:color w:val="000000" w:themeColor="text1"/>
          <w:spacing w:val="0"/>
          <w:sz w:val="32"/>
          <w:szCs w:val="32"/>
          <w:lang w:val="en-US" w:eastAsia="zh-CN"/>
        </w:rPr>
        <w:t>镇</w:t>
      </w:r>
      <w:r>
        <w:rPr>
          <w:rFonts w:hint="eastAsia" w:ascii="仿宋" w:hAnsi="仿宋" w:eastAsia="仿宋" w:cs="仿宋"/>
          <w:b w:val="0"/>
          <w:bCs w:val="0"/>
          <w:color w:val="000000" w:themeColor="text1"/>
          <w:spacing w:val="0"/>
          <w:sz w:val="32"/>
          <w:szCs w:val="32"/>
          <w:lang w:val="en-US" w:eastAsia="zh-CN"/>
        </w:rPr>
        <w:t>&lt;</w:t>
      </w:r>
      <w:r>
        <w:rPr>
          <w:rFonts w:ascii="Times New Roman" w:hAnsi="Times New Roman" w:eastAsia="楷体"/>
          <w:b w:val="0"/>
          <w:bCs w:val="0"/>
          <w:color w:val="000000" w:themeColor="text1"/>
          <w:spacing w:val="0"/>
          <w:sz w:val="32"/>
          <w:szCs w:val="32"/>
          <w:lang w:val="en-US" w:eastAsia="zh-CN"/>
        </w:rPr>
        <w:t>街</w:t>
      </w:r>
      <w:r>
        <w:rPr>
          <w:rFonts w:hint="eastAsia" w:ascii="仿宋" w:hAnsi="仿宋" w:eastAsia="仿宋" w:cs="仿宋"/>
          <w:b w:val="0"/>
          <w:bCs w:val="0"/>
          <w:color w:val="000000" w:themeColor="text1"/>
          <w:spacing w:val="0"/>
          <w:sz w:val="32"/>
          <w:szCs w:val="32"/>
          <w:lang w:val="en-US" w:eastAsia="zh-CN"/>
        </w:rPr>
        <w:t>&gt;</w:t>
      </w:r>
      <w:r>
        <w:rPr>
          <w:rFonts w:ascii="Times New Roman" w:hAnsi="Times New Roman" w:eastAsia="楷体"/>
          <w:b w:val="0"/>
          <w:bCs w:val="0"/>
          <w:color w:val="000000" w:themeColor="text1"/>
          <w:spacing w:val="0"/>
          <w:sz w:val="32"/>
          <w:szCs w:val="32"/>
        </w:rPr>
        <w:t>；以下任务均需各</w:t>
      </w:r>
      <w:r>
        <w:rPr>
          <w:rFonts w:ascii="Times New Roman" w:hAnsi="Times New Roman" w:eastAsia="楷体"/>
          <w:b w:val="0"/>
          <w:bCs w:val="0"/>
          <w:color w:val="000000" w:themeColor="text1"/>
          <w:spacing w:val="0"/>
          <w:sz w:val="32"/>
          <w:szCs w:val="32"/>
          <w:lang w:val="en-US" w:eastAsia="zh-CN"/>
        </w:rPr>
        <w:t>镇</w:t>
      </w:r>
      <w:r>
        <w:rPr>
          <w:rFonts w:hint="eastAsia" w:ascii="仿宋" w:hAnsi="仿宋" w:eastAsia="仿宋" w:cs="仿宋"/>
          <w:b w:val="0"/>
          <w:bCs w:val="0"/>
          <w:color w:val="000000" w:themeColor="text1"/>
          <w:spacing w:val="0"/>
          <w:sz w:val="32"/>
          <w:szCs w:val="32"/>
          <w:lang w:val="en-US" w:eastAsia="zh-CN"/>
        </w:rPr>
        <w:t>&lt;</w:t>
      </w:r>
      <w:r>
        <w:rPr>
          <w:rFonts w:ascii="Times New Roman" w:hAnsi="Times New Roman" w:eastAsia="楷体"/>
          <w:b w:val="0"/>
          <w:bCs w:val="0"/>
          <w:color w:val="000000" w:themeColor="text1"/>
          <w:spacing w:val="0"/>
          <w:sz w:val="32"/>
          <w:szCs w:val="32"/>
          <w:lang w:val="en-US" w:eastAsia="zh-CN"/>
        </w:rPr>
        <w:t>街</w:t>
      </w:r>
      <w:r>
        <w:rPr>
          <w:rFonts w:hint="eastAsia" w:ascii="仿宋" w:hAnsi="仿宋" w:eastAsia="仿宋" w:cs="仿宋"/>
          <w:b w:val="0"/>
          <w:bCs w:val="0"/>
          <w:color w:val="000000" w:themeColor="text1"/>
          <w:spacing w:val="0"/>
          <w:sz w:val="32"/>
          <w:szCs w:val="32"/>
          <w:lang w:val="en-US" w:eastAsia="zh-CN"/>
        </w:rPr>
        <w:t>&gt;</w:t>
      </w:r>
      <w:r>
        <w:rPr>
          <w:rFonts w:ascii="Times New Roman" w:hAnsi="Times New Roman" w:eastAsia="楷体"/>
          <w:b w:val="0"/>
          <w:bCs w:val="0"/>
          <w:color w:val="000000" w:themeColor="text1"/>
          <w:spacing w:val="0"/>
          <w:sz w:val="32"/>
          <w:szCs w:val="32"/>
        </w:rPr>
        <w:t>落实，不再一一列出）</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2、提升一批一般村卫生室。</w:t>
      </w:r>
      <w:r>
        <w:rPr>
          <w:rFonts w:hint="eastAsia" w:ascii="Times New Roman" w:hAnsi="Times New Roman" w:eastAsia="仿宋"/>
          <w:b w:val="0"/>
          <w:bCs w:val="0"/>
          <w:color w:val="000000" w:themeColor="text1"/>
          <w:spacing w:val="0"/>
          <w:sz w:val="32"/>
          <w:szCs w:val="32"/>
          <w:lang w:val="en-US" w:eastAsia="zh-CN"/>
        </w:rPr>
        <w:t>以</w:t>
      </w:r>
      <w:r>
        <w:rPr>
          <w:rFonts w:ascii="Times New Roman" w:hAnsi="Times New Roman" w:eastAsia="仿宋"/>
          <w:b w:val="0"/>
          <w:bCs w:val="0"/>
          <w:i w:val="0"/>
          <w:iCs w:val="0"/>
          <w:color w:val="000000" w:themeColor="text1"/>
          <w:spacing w:val="0"/>
          <w:sz w:val="32"/>
          <w:szCs w:val="32"/>
          <w:shd w:val="clear" w:color="auto" w:fill="FFFFFF"/>
          <w:lang w:val="en-US" w:eastAsia="zh-CN"/>
        </w:rPr>
        <w:t>实施村卫生室</w:t>
      </w:r>
      <w:r>
        <w:rPr>
          <w:rStyle w:val="25"/>
          <w:rFonts w:ascii="Times New Roman" w:hAnsi="Times New Roman" w:eastAsia="仿宋"/>
          <w:b w:val="0"/>
          <w:bCs w:val="0"/>
          <w:color w:val="000000" w:themeColor="text1"/>
          <w:spacing w:val="0"/>
          <w:kern w:val="0"/>
          <w:sz w:val="32"/>
          <w:szCs w:val="32"/>
          <w:lang w:val="en-US" w:eastAsia="zh-CN"/>
        </w:rPr>
        <w:t>环境卫生、业务能力、管理服务、规范行医“四个提升”工程</w:t>
      </w:r>
      <w:r>
        <w:rPr>
          <w:rStyle w:val="25"/>
          <w:rFonts w:hint="eastAsia" w:ascii="Times New Roman" w:hAnsi="Times New Roman" w:eastAsia="仿宋"/>
          <w:b w:val="0"/>
          <w:bCs w:val="0"/>
          <w:color w:val="000000" w:themeColor="text1"/>
          <w:spacing w:val="0"/>
          <w:kern w:val="0"/>
          <w:sz w:val="32"/>
          <w:szCs w:val="32"/>
          <w:lang w:val="en-US" w:eastAsia="zh-CN"/>
        </w:rPr>
        <w:t>为抓手</w:t>
      </w:r>
      <w:r>
        <w:rPr>
          <w:rStyle w:val="25"/>
          <w:rFonts w:ascii="Times New Roman" w:hAnsi="Times New Roman" w:eastAsia="仿宋"/>
          <w:b w:val="0"/>
          <w:bCs w:val="0"/>
          <w:color w:val="000000" w:themeColor="text1"/>
          <w:spacing w:val="0"/>
          <w:kern w:val="0"/>
          <w:sz w:val="32"/>
          <w:szCs w:val="32"/>
          <w:lang w:val="en-US" w:eastAsia="zh-CN"/>
        </w:rPr>
        <w:t>，</w:t>
      </w:r>
      <w:r>
        <w:rPr>
          <w:rStyle w:val="25"/>
          <w:rFonts w:hint="eastAsia" w:ascii="Times New Roman" w:hAnsi="Times New Roman" w:eastAsia="仿宋"/>
          <w:b w:val="0"/>
          <w:bCs w:val="0"/>
          <w:color w:val="000000" w:themeColor="text1"/>
          <w:spacing w:val="0"/>
          <w:kern w:val="0"/>
          <w:sz w:val="32"/>
          <w:szCs w:val="32"/>
          <w:lang w:val="en-US" w:eastAsia="zh-CN"/>
        </w:rPr>
        <w:t>在现有基础上，</w:t>
      </w:r>
      <w:r>
        <w:rPr>
          <w:rFonts w:ascii="Times New Roman" w:hAnsi="Times New Roman" w:eastAsia="仿宋"/>
          <w:b w:val="0"/>
          <w:bCs w:val="0"/>
          <w:color w:val="000000" w:themeColor="text1"/>
          <w:spacing w:val="0"/>
          <w:sz w:val="32"/>
          <w:szCs w:val="32"/>
          <w:lang w:val="en-US" w:eastAsia="zh-CN"/>
        </w:rPr>
        <w:t>加强一般村卫生室标准化建设，</w:t>
      </w:r>
      <w:r>
        <w:rPr>
          <w:rFonts w:hint="eastAsia" w:ascii="Times New Roman" w:hAnsi="Times New Roman" w:eastAsia="仿宋"/>
          <w:b w:val="0"/>
          <w:bCs w:val="0"/>
          <w:color w:val="000000" w:themeColor="text1"/>
          <w:spacing w:val="0"/>
          <w:sz w:val="32"/>
          <w:szCs w:val="32"/>
          <w:lang w:val="en-US" w:eastAsia="zh-CN"/>
        </w:rPr>
        <w:t>所需提升费用由</w:t>
      </w:r>
      <w:r>
        <w:rPr>
          <w:rFonts w:ascii="Times New Roman" w:hAnsi="Times New Roman" w:eastAsia="仿宋"/>
          <w:b w:val="0"/>
          <w:bCs w:val="0"/>
          <w:color w:val="000000" w:themeColor="text1"/>
          <w:spacing w:val="0"/>
          <w:sz w:val="32"/>
          <w:szCs w:val="32"/>
        </w:rPr>
        <w:t>镇卫生院（社区卫生服务中心）</w:t>
      </w:r>
      <w:r>
        <w:rPr>
          <w:rFonts w:hint="eastAsia" w:ascii="Times New Roman" w:hAnsi="Times New Roman" w:eastAsia="仿宋"/>
          <w:b w:val="0"/>
          <w:bCs w:val="0"/>
          <w:color w:val="000000" w:themeColor="text1"/>
          <w:spacing w:val="0"/>
          <w:sz w:val="32"/>
          <w:szCs w:val="32"/>
          <w:lang w:val="en-US" w:eastAsia="zh-CN"/>
        </w:rPr>
        <w:t>统筹使用村卫生室保障运行经费</w:t>
      </w:r>
      <w:r>
        <w:rPr>
          <w:rFonts w:ascii="Times New Roman" w:hAnsi="Times New Roman" w:eastAsia="仿宋"/>
          <w:b w:val="0"/>
          <w:bCs w:val="0"/>
          <w:color w:val="000000" w:themeColor="text1"/>
          <w:spacing w:val="0"/>
          <w:sz w:val="32"/>
          <w:szCs w:val="32"/>
          <w:lang w:val="en-US" w:eastAsia="zh-CN"/>
        </w:rPr>
        <w:t>。一般村</w:t>
      </w:r>
      <w:r>
        <w:rPr>
          <w:rStyle w:val="25"/>
          <w:rFonts w:ascii="Times New Roman" w:hAnsi="Times New Roman" w:eastAsia="仿宋"/>
          <w:b w:val="0"/>
          <w:bCs w:val="0"/>
          <w:color w:val="000000" w:themeColor="text1"/>
          <w:spacing w:val="0"/>
          <w:kern w:val="0"/>
          <w:sz w:val="32"/>
          <w:szCs w:val="32"/>
          <w:lang w:val="en-US" w:eastAsia="zh-CN"/>
        </w:rPr>
        <w:t>卫生室标准化建设</w:t>
      </w:r>
      <w:r>
        <w:rPr>
          <w:rFonts w:ascii="Times New Roman" w:hAnsi="Times New Roman" w:eastAsia="仿宋"/>
          <w:b w:val="0"/>
          <w:bCs w:val="0"/>
          <w:color w:val="000000" w:themeColor="text1"/>
          <w:spacing w:val="0"/>
          <w:sz w:val="32"/>
          <w:szCs w:val="32"/>
        </w:rPr>
        <w:t>2024年、2025年</w:t>
      </w:r>
      <w:r>
        <w:rPr>
          <w:rFonts w:ascii="Times New Roman" w:hAnsi="Times New Roman" w:eastAsia="仿宋"/>
          <w:b w:val="0"/>
          <w:bCs w:val="0"/>
          <w:color w:val="000000" w:themeColor="text1"/>
          <w:spacing w:val="0"/>
          <w:kern w:val="0"/>
          <w:sz w:val="32"/>
          <w:szCs w:val="32"/>
        </w:rPr>
        <w:t>分别达到</w:t>
      </w:r>
      <w:r>
        <w:rPr>
          <w:rFonts w:hint="eastAsia" w:ascii="Times New Roman" w:hAnsi="Times New Roman" w:eastAsia="仿宋"/>
          <w:b w:val="0"/>
          <w:bCs w:val="0"/>
          <w:color w:val="000000" w:themeColor="text1"/>
          <w:spacing w:val="0"/>
          <w:kern w:val="0"/>
          <w:sz w:val="32"/>
          <w:szCs w:val="32"/>
          <w:lang w:val="en-US" w:eastAsia="zh-CN"/>
        </w:rPr>
        <w:t>70</w:t>
      </w: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kern w:val="0"/>
          <w:sz w:val="32"/>
          <w:szCs w:val="32"/>
          <w:lang w:val="en-US" w:eastAsia="zh-CN"/>
        </w:rPr>
        <w:t>100</w:t>
      </w: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kern w:val="0"/>
          <w:sz w:val="32"/>
          <w:szCs w:val="32"/>
          <w:lang w:eastAsia="zh-CN"/>
        </w:rPr>
        <w:t>。</w:t>
      </w:r>
      <w:r>
        <w:rPr>
          <w:rFonts w:hint="eastAsia" w:ascii="楷体" w:hAnsi="楷体" w:eastAsia="楷体"/>
          <w:b w:val="0"/>
          <w:bCs w:val="0"/>
          <w:color w:val="000000" w:themeColor="text1"/>
          <w:spacing w:val="0"/>
          <w:sz w:val="32"/>
          <w:szCs w:val="32"/>
          <w:lang w:val="en-US" w:eastAsia="zh-CN"/>
        </w:rPr>
        <w:t>（责任单位：区卫健局）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3、建强一批薄弱村卫生室。强化基础设施</w:t>
      </w:r>
      <w:r>
        <w:rPr>
          <w:rFonts w:hint="eastAsia" w:ascii="Times New Roman" w:hAnsi="Times New Roman" w:eastAsia="仿宋"/>
          <w:b w:val="0"/>
          <w:bCs w:val="0"/>
          <w:color w:val="000000" w:themeColor="text1"/>
          <w:spacing w:val="0"/>
          <w:sz w:val="32"/>
          <w:szCs w:val="32"/>
          <w:lang w:val="en-US" w:eastAsia="zh-CN"/>
        </w:rPr>
        <w:t>较</w:t>
      </w:r>
      <w:r>
        <w:rPr>
          <w:rFonts w:ascii="Times New Roman" w:hAnsi="Times New Roman" w:eastAsia="仿宋"/>
          <w:b w:val="0"/>
          <w:bCs w:val="0"/>
          <w:color w:val="000000" w:themeColor="text1"/>
          <w:spacing w:val="0"/>
          <w:sz w:val="32"/>
          <w:szCs w:val="32"/>
          <w:lang w:val="en-US" w:eastAsia="zh-CN"/>
        </w:rPr>
        <w:t>差、服务水平</w:t>
      </w:r>
      <w:r>
        <w:rPr>
          <w:rFonts w:hint="eastAsia" w:ascii="Times New Roman" w:hAnsi="Times New Roman" w:eastAsia="仿宋"/>
          <w:b w:val="0"/>
          <w:bCs w:val="0"/>
          <w:color w:val="000000" w:themeColor="text1"/>
          <w:spacing w:val="0"/>
          <w:sz w:val="32"/>
          <w:szCs w:val="32"/>
          <w:lang w:val="en-US" w:eastAsia="zh-CN"/>
        </w:rPr>
        <w:t>较</w:t>
      </w:r>
      <w:r>
        <w:rPr>
          <w:rFonts w:ascii="Times New Roman" w:hAnsi="Times New Roman" w:eastAsia="仿宋"/>
          <w:b w:val="0"/>
          <w:bCs w:val="0"/>
          <w:color w:val="000000" w:themeColor="text1"/>
          <w:spacing w:val="0"/>
          <w:sz w:val="32"/>
          <w:szCs w:val="32"/>
          <w:lang w:val="en-US" w:eastAsia="zh-CN"/>
        </w:rPr>
        <w:t>低的薄弱村卫生室标准化建设，实施薄弱村卫生室改貌</w:t>
      </w:r>
      <w:r>
        <w:rPr>
          <w:rFonts w:hint="eastAsia" w:ascii="Times New Roman" w:hAnsi="Times New Roman" w:eastAsia="仿宋"/>
          <w:b w:val="0"/>
          <w:bCs w:val="0"/>
          <w:color w:val="000000" w:themeColor="text1"/>
          <w:spacing w:val="0"/>
          <w:sz w:val="32"/>
          <w:szCs w:val="32"/>
          <w:lang w:val="en-US" w:eastAsia="zh-CN"/>
        </w:rPr>
        <w:t>提升、服务提质</w:t>
      </w:r>
      <w:r>
        <w:rPr>
          <w:rFonts w:ascii="Times New Roman" w:hAnsi="Times New Roman" w:eastAsia="仿宋"/>
          <w:b w:val="0"/>
          <w:bCs w:val="0"/>
          <w:color w:val="000000" w:themeColor="text1"/>
          <w:spacing w:val="0"/>
          <w:sz w:val="32"/>
          <w:szCs w:val="32"/>
          <w:lang w:val="en-US" w:eastAsia="zh-CN"/>
        </w:rPr>
        <w:t>工程，2025年全部达到</w:t>
      </w:r>
      <w:r>
        <w:rPr>
          <w:rStyle w:val="25"/>
          <w:rFonts w:ascii="Times New Roman" w:hAnsi="Times New Roman" w:eastAsia="仿宋"/>
          <w:b w:val="0"/>
          <w:bCs w:val="0"/>
          <w:color w:val="000000" w:themeColor="text1"/>
          <w:spacing w:val="0"/>
          <w:kern w:val="0"/>
          <w:sz w:val="32"/>
          <w:szCs w:val="32"/>
          <w:lang w:val="en-US" w:eastAsia="zh-CN"/>
        </w:rPr>
        <w:t>“</w:t>
      </w:r>
      <w:r>
        <w:rPr>
          <w:rStyle w:val="25"/>
          <w:rFonts w:hint="eastAsia" w:ascii="Times New Roman" w:hAnsi="Times New Roman" w:eastAsia="仿宋"/>
          <w:b w:val="0"/>
          <w:bCs w:val="0"/>
          <w:color w:val="000000" w:themeColor="text1"/>
          <w:spacing w:val="0"/>
          <w:kern w:val="0"/>
          <w:sz w:val="32"/>
          <w:szCs w:val="32"/>
          <w:lang w:val="en-US" w:eastAsia="zh-CN"/>
        </w:rPr>
        <w:t>五</w:t>
      </w:r>
      <w:r>
        <w:rPr>
          <w:rStyle w:val="25"/>
          <w:rFonts w:ascii="Times New Roman" w:hAnsi="Times New Roman" w:eastAsia="仿宋"/>
          <w:b w:val="0"/>
          <w:bCs w:val="0"/>
          <w:color w:val="000000" w:themeColor="text1"/>
          <w:spacing w:val="0"/>
          <w:kern w:val="0"/>
          <w:sz w:val="32"/>
          <w:szCs w:val="32"/>
          <w:lang w:val="en-US" w:eastAsia="zh-CN"/>
        </w:rPr>
        <w:t>有</w:t>
      </w:r>
      <w:r>
        <w:rPr>
          <w:rStyle w:val="25"/>
          <w:rFonts w:hint="eastAsia" w:ascii="Times New Roman" w:hAnsi="Times New Roman" w:eastAsia="仿宋"/>
          <w:b w:val="0"/>
          <w:bCs w:val="0"/>
          <w:color w:val="000000" w:themeColor="text1"/>
          <w:spacing w:val="0"/>
          <w:kern w:val="0"/>
          <w:sz w:val="32"/>
          <w:szCs w:val="32"/>
          <w:lang w:val="en-US" w:eastAsia="zh-CN"/>
        </w:rPr>
        <w:t>三</w:t>
      </w:r>
      <w:r>
        <w:rPr>
          <w:rStyle w:val="25"/>
          <w:rFonts w:ascii="Times New Roman" w:hAnsi="Times New Roman" w:eastAsia="仿宋"/>
          <w:b w:val="0"/>
          <w:bCs w:val="0"/>
          <w:color w:val="000000" w:themeColor="text1"/>
          <w:spacing w:val="0"/>
          <w:kern w:val="0"/>
          <w:sz w:val="32"/>
          <w:szCs w:val="32"/>
          <w:lang w:val="en-US" w:eastAsia="zh-CN"/>
        </w:rPr>
        <w:t>提升”</w:t>
      </w:r>
      <w:r>
        <w:rPr>
          <w:rStyle w:val="25"/>
          <w:rFonts w:hint="eastAsia" w:ascii="Times New Roman" w:hAnsi="Times New Roman" w:eastAsia="仿宋"/>
          <w:b w:val="0"/>
          <w:bCs w:val="0"/>
          <w:color w:val="000000" w:themeColor="text1"/>
          <w:spacing w:val="0"/>
          <w:kern w:val="0"/>
          <w:sz w:val="32"/>
          <w:szCs w:val="32"/>
          <w:lang w:val="en-US" w:eastAsia="zh-CN"/>
        </w:rPr>
        <w:t>（即：有观察诊查床、有智慧随访设备、有康复理疗设备、有冷暖空调、有无害化厕所；实现服务能力提升、医疗保障提升、诊疗环境提升）</w:t>
      </w:r>
      <w:r>
        <w:rPr>
          <w:rStyle w:val="25"/>
          <w:rFonts w:ascii="Times New Roman" w:hAnsi="Times New Roman" w:eastAsia="仿宋"/>
          <w:b w:val="0"/>
          <w:bCs w:val="0"/>
          <w:color w:val="000000" w:themeColor="text1"/>
          <w:spacing w:val="0"/>
          <w:kern w:val="0"/>
          <w:sz w:val="32"/>
          <w:szCs w:val="32"/>
          <w:lang w:val="en-US" w:eastAsia="zh-CN"/>
        </w:rPr>
        <w:t>要求</w:t>
      </w:r>
      <w:r>
        <w:rPr>
          <w:rFonts w:ascii="Times New Roman" w:hAnsi="Times New Roman" w:eastAsia="仿宋"/>
          <w:b w:val="0"/>
          <w:bCs w:val="0"/>
          <w:color w:val="000000" w:themeColor="text1"/>
          <w:spacing w:val="0"/>
          <w:sz w:val="32"/>
          <w:szCs w:val="32"/>
          <w:lang w:val="en-US" w:eastAsia="zh-CN"/>
        </w:rPr>
        <w:t>。</w:t>
      </w:r>
      <w:r>
        <w:rPr>
          <w:rFonts w:ascii="Times New Roman" w:hAnsi="Times New Roman" w:eastAsia="仿宋"/>
          <w:b w:val="0"/>
          <w:bCs w:val="0"/>
          <w:color w:val="000000" w:themeColor="text1"/>
          <w:spacing w:val="0"/>
          <w:kern w:val="0"/>
          <w:sz w:val="32"/>
          <w:szCs w:val="32"/>
        </w:rPr>
        <w:t>加大</w:t>
      </w:r>
      <w:r>
        <w:rPr>
          <w:rFonts w:ascii="Times New Roman" w:hAnsi="Times New Roman" w:eastAsia="仿宋"/>
          <w:b w:val="0"/>
          <w:bCs w:val="0"/>
          <w:color w:val="000000" w:themeColor="text1"/>
          <w:spacing w:val="0"/>
          <w:sz w:val="32"/>
          <w:szCs w:val="32"/>
          <w:lang w:val="en-US" w:eastAsia="zh-CN"/>
        </w:rPr>
        <w:t>薄弱村卫生室</w:t>
      </w:r>
      <w:r>
        <w:rPr>
          <w:rFonts w:ascii="Times New Roman" w:hAnsi="Times New Roman" w:eastAsia="仿宋"/>
          <w:b w:val="0"/>
          <w:bCs w:val="0"/>
          <w:color w:val="000000" w:themeColor="text1"/>
          <w:spacing w:val="0"/>
          <w:kern w:val="0"/>
          <w:sz w:val="32"/>
          <w:szCs w:val="32"/>
        </w:rPr>
        <w:t>帮扶力度</w:t>
      </w:r>
      <w:r>
        <w:rPr>
          <w:rFonts w:ascii="Times New Roman" w:hAnsi="Times New Roman" w:eastAsia="仿宋"/>
          <w:b w:val="0"/>
          <w:bCs w:val="0"/>
          <w:color w:val="000000" w:themeColor="text1"/>
          <w:spacing w:val="0"/>
          <w:kern w:val="0"/>
          <w:sz w:val="32"/>
          <w:szCs w:val="32"/>
          <w:lang w:eastAsia="zh-CN"/>
        </w:rPr>
        <w:t>，</w:t>
      </w:r>
      <w:r>
        <w:rPr>
          <w:rFonts w:ascii="Times New Roman" w:hAnsi="Times New Roman" w:eastAsia="仿宋"/>
          <w:b w:val="0"/>
          <w:bCs w:val="0"/>
          <w:color w:val="000000" w:themeColor="text1"/>
          <w:spacing w:val="0"/>
          <w:kern w:val="0"/>
          <w:sz w:val="32"/>
          <w:szCs w:val="32"/>
        </w:rPr>
        <w:t>依托二级及以上公立医院，加强设备、技术、人才等援助，三年</w:t>
      </w:r>
      <w:r>
        <w:rPr>
          <w:rFonts w:ascii="Times New Roman" w:hAnsi="Times New Roman" w:eastAsia="仿宋"/>
          <w:b w:val="0"/>
          <w:bCs w:val="0"/>
          <w:color w:val="000000" w:themeColor="text1"/>
          <w:spacing w:val="0"/>
          <w:kern w:val="0"/>
          <w:sz w:val="32"/>
          <w:szCs w:val="32"/>
          <w:lang w:val="en-US" w:eastAsia="zh-CN"/>
        </w:rPr>
        <w:t>实现</w:t>
      </w:r>
      <w:r>
        <w:rPr>
          <w:rFonts w:ascii="Times New Roman" w:hAnsi="Times New Roman" w:eastAsia="仿宋"/>
          <w:b w:val="0"/>
          <w:bCs w:val="0"/>
          <w:color w:val="000000" w:themeColor="text1"/>
          <w:spacing w:val="0"/>
          <w:kern w:val="0"/>
          <w:sz w:val="32"/>
          <w:szCs w:val="32"/>
        </w:rPr>
        <w:t>帮扶</w:t>
      </w:r>
      <w:r>
        <w:rPr>
          <w:rFonts w:ascii="Times New Roman" w:hAnsi="Times New Roman" w:eastAsia="仿宋"/>
          <w:b w:val="0"/>
          <w:bCs w:val="0"/>
          <w:color w:val="000000" w:themeColor="text1"/>
          <w:spacing w:val="0"/>
          <w:kern w:val="0"/>
          <w:sz w:val="32"/>
          <w:szCs w:val="32"/>
          <w:lang w:val="en-US" w:eastAsia="zh-CN"/>
        </w:rPr>
        <w:t>全覆盖</w:t>
      </w:r>
      <w:r>
        <w:rPr>
          <w:rFonts w:ascii="Times New Roman" w:hAnsi="Times New Roman" w:eastAsia="仿宋"/>
          <w:b w:val="0"/>
          <w:bCs w:val="0"/>
          <w:color w:val="000000" w:themeColor="text1"/>
          <w:spacing w:val="0"/>
          <w:sz w:val="32"/>
          <w:szCs w:val="32"/>
          <w:lang w:val="en-US" w:eastAsia="zh-CN"/>
        </w:rPr>
        <w:t>。</w:t>
      </w:r>
      <w:r>
        <w:rPr>
          <w:rFonts w:hint="eastAsia" w:ascii="楷体" w:hAnsi="楷体" w:eastAsia="楷体"/>
          <w:b w:val="0"/>
          <w:bCs w:val="0"/>
          <w:color w:val="000000" w:themeColor="text1"/>
          <w:spacing w:val="0"/>
          <w:sz w:val="32"/>
          <w:szCs w:val="32"/>
          <w:lang w:val="en-US" w:eastAsia="zh-CN"/>
        </w:rPr>
        <w:t>（责任单位：区卫健局、区医保局）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4、打造一批特色村卫生室。实施基层中医药服务能力提升专项行动，加强村卫生室中医药人员配备、技术服务提供和诊疗设备配置，优化中医药健康服务，创建一批中医药特色村卫生室。样板村卫生室全部设置“中医阁”，规范开展中医药适宜技术。2024年、2025年、2026年，设置“中医阁”的村卫生室分别达到10%、20%、30%。</w:t>
      </w:r>
      <w:r>
        <w:rPr>
          <w:rFonts w:hint="eastAsia" w:ascii="楷体" w:hAnsi="楷体" w:eastAsia="楷体"/>
          <w:b w:val="0"/>
          <w:bCs w:val="0"/>
          <w:color w:val="000000" w:themeColor="text1"/>
          <w:spacing w:val="0"/>
          <w:sz w:val="32"/>
          <w:szCs w:val="32"/>
          <w:lang w:val="en-US" w:eastAsia="zh-CN"/>
        </w:rPr>
        <w:t>（责任单位：区卫健局）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5、</w:t>
      </w:r>
      <w:r>
        <w:rPr>
          <w:rFonts w:ascii="Times New Roman" w:hAnsi="Times New Roman" w:eastAsia="仿宋"/>
          <w:b w:val="0"/>
          <w:bCs w:val="0"/>
          <w:color w:val="000000" w:themeColor="text1"/>
          <w:spacing w:val="0"/>
          <w:sz w:val="32"/>
          <w:szCs w:val="32"/>
          <w:lang w:val="en-US" w:eastAsia="zh-CN"/>
        </w:rPr>
        <w:t>推进村卫生室产权公有</w:t>
      </w:r>
      <w:r>
        <w:rPr>
          <w:rFonts w:hint="eastAsia" w:ascii="Times New Roman" w:hAnsi="Times New Roman" w:eastAsia="仿宋"/>
          <w:b w:val="0"/>
          <w:bCs w:val="0"/>
          <w:color w:val="000000" w:themeColor="text1"/>
          <w:spacing w:val="0"/>
          <w:sz w:val="32"/>
          <w:szCs w:val="32"/>
          <w:lang w:val="en-US" w:eastAsia="zh-CN"/>
        </w:rPr>
        <w:t>。</w:t>
      </w:r>
      <w:r>
        <w:rPr>
          <w:rFonts w:ascii="Times New Roman" w:hAnsi="Times New Roman" w:eastAsia="仿宋"/>
          <w:b w:val="0"/>
          <w:bCs w:val="0"/>
          <w:color w:val="000000" w:themeColor="text1"/>
          <w:spacing w:val="0"/>
          <w:sz w:val="32"/>
          <w:szCs w:val="32"/>
          <w:lang w:val="en-US" w:eastAsia="zh-CN"/>
        </w:rPr>
        <w:t>村卫生室</w:t>
      </w:r>
      <w:r>
        <w:rPr>
          <w:rFonts w:hint="eastAsia" w:ascii="Times New Roman" w:hAnsi="Times New Roman" w:eastAsia="仿宋"/>
          <w:b w:val="0"/>
          <w:bCs w:val="0"/>
          <w:color w:val="000000" w:themeColor="text1"/>
          <w:spacing w:val="0"/>
          <w:sz w:val="32"/>
          <w:szCs w:val="32"/>
          <w:lang w:val="en-US" w:eastAsia="zh-CN"/>
        </w:rPr>
        <w:t>由</w:t>
      </w:r>
      <w:r>
        <w:rPr>
          <w:rFonts w:ascii="Times New Roman" w:hAnsi="Times New Roman" w:eastAsia="仿宋"/>
          <w:b w:val="0"/>
          <w:bCs w:val="0"/>
          <w:color w:val="000000" w:themeColor="text1"/>
          <w:spacing w:val="0"/>
          <w:sz w:val="32"/>
          <w:szCs w:val="32"/>
        </w:rPr>
        <w:t>政府（集体）建设、镇卫生院（社区卫生服务中心）管理、乡村医生无偿使用</w:t>
      </w:r>
      <w:r>
        <w:rPr>
          <w:rFonts w:hint="eastAsia" w:ascii="Times New Roman" w:hAnsi="Times New Roman" w:eastAsia="仿宋"/>
          <w:b w:val="0"/>
          <w:bCs w:val="0"/>
          <w:color w:val="000000" w:themeColor="text1"/>
          <w:spacing w:val="0"/>
          <w:sz w:val="32"/>
          <w:szCs w:val="32"/>
          <w:lang w:eastAsia="zh-CN"/>
        </w:rPr>
        <w:t>，</w:t>
      </w:r>
      <w:r>
        <w:rPr>
          <w:rFonts w:hint="eastAsia" w:ascii="Times New Roman" w:hAnsi="Times New Roman" w:eastAsia="仿宋"/>
          <w:b w:val="0"/>
          <w:bCs w:val="0"/>
          <w:color w:val="000000" w:themeColor="text1"/>
          <w:spacing w:val="0"/>
          <w:sz w:val="32"/>
          <w:szCs w:val="32"/>
          <w:lang w:val="en-US" w:eastAsia="zh-CN"/>
        </w:rPr>
        <w:t>实现</w:t>
      </w:r>
      <w:r>
        <w:rPr>
          <w:rFonts w:ascii="Times New Roman" w:hAnsi="Times New Roman" w:eastAsia="仿宋"/>
          <w:b w:val="0"/>
          <w:bCs w:val="0"/>
          <w:color w:val="000000" w:themeColor="text1"/>
          <w:spacing w:val="0"/>
          <w:sz w:val="32"/>
          <w:szCs w:val="32"/>
        </w:rPr>
        <w:t>产权完全公有</w:t>
      </w:r>
      <w:r>
        <w:rPr>
          <w:rFonts w:hint="eastAsia" w:ascii="Times New Roman" w:hAnsi="Times New Roman" w:eastAsia="仿宋"/>
          <w:b w:val="0"/>
          <w:bCs w:val="0"/>
          <w:color w:val="000000" w:themeColor="text1"/>
          <w:spacing w:val="0"/>
          <w:sz w:val="32"/>
          <w:szCs w:val="32"/>
          <w:lang w:eastAsia="zh-CN"/>
        </w:rPr>
        <w:t>。</w:t>
      </w:r>
      <w:r>
        <w:rPr>
          <w:rFonts w:hint="eastAsia" w:ascii="Times New Roman" w:hAnsi="Times New Roman" w:eastAsia="仿宋"/>
          <w:b w:val="0"/>
          <w:bCs w:val="0"/>
          <w:color w:val="000000" w:themeColor="text1"/>
          <w:spacing w:val="0"/>
          <w:sz w:val="32"/>
          <w:szCs w:val="32"/>
          <w:lang w:val="en-US" w:eastAsia="zh-CN"/>
        </w:rPr>
        <w:t>尚未实现</w:t>
      </w:r>
      <w:r>
        <w:rPr>
          <w:rFonts w:ascii="Times New Roman" w:hAnsi="Times New Roman" w:eastAsia="仿宋"/>
          <w:b w:val="0"/>
          <w:bCs w:val="0"/>
          <w:color w:val="000000" w:themeColor="text1"/>
          <w:spacing w:val="0"/>
          <w:sz w:val="32"/>
          <w:szCs w:val="32"/>
        </w:rPr>
        <w:t>产权</w:t>
      </w:r>
      <w:r>
        <w:rPr>
          <w:rFonts w:hint="eastAsia" w:ascii="Times New Roman" w:hAnsi="Times New Roman" w:eastAsia="仿宋"/>
          <w:b w:val="0"/>
          <w:bCs w:val="0"/>
          <w:color w:val="000000" w:themeColor="text1"/>
          <w:spacing w:val="0"/>
          <w:sz w:val="32"/>
          <w:szCs w:val="32"/>
          <w:lang w:val="en-US" w:eastAsia="zh-CN"/>
        </w:rPr>
        <w:t>公有的村卫生室，要按照</w:t>
      </w:r>
      <w:r>
        <w:rPr>
          <w:rFonts w:ascii="Times New Roman" w:hAnsi="Times New Roman" w:eastAsia="仿宋"/>
          <w:b w:val="0"/>
          <w:bCs w:val="0"/>
          <w:color w:val="000000" w:themeColor="text1"/>
          <w:spacing w:val="0"/>
          <w:sz w:val="32"/>
          <w:szCs w:val="32"/>
        </w:rPr>
        <w:t>先易后难、精准施策、稳妥推进的原则，</w:t>
      </w:r>
      <w:r>
        <w:rPr>
          <w:rFonts w:hint="eastAsia" w:ascii="Times New Roman" w:hAnsi="Times New Roman" w:eastAsia="仿宋"/>
          <w:b w:val="0"/>
          <w:bCs w:val="0"/>
          <w:color w:val="000000" w:themeColor="text1"/>
          <w:spacing w:val="0"/>
          <w:sz w:val="32"/>
          <w:szCs w:val="32"/>
          <w:lang w:val="en-US" w:eastAsia="zh-CN"/>
        </w:rPr>
        <w:t>坚持</w:t>
      </w:r>
      <w:r>
        <w:rPr>
          <w:rFonts w:hint="default" w:ascii="Times New Roman" w:hAnsi="Times New Roman" w:eastAsia="仿宋" w:cs="Times New Roman"/>
          <w:b w:val="0"/>
          <w:bCs w:val="0"/>
          <w:color w:val="000000" w:themeColor="text1"/>
          <w:spacing w:val="0"/>
          <w:sz w:val="32"/>
          <w:szCs w:val="32"/>
          <w:lang w:val="en-US" w:eastAsia="zh-CN"/>
        </w:rPr>
        <w:t>“宜建则建、宜改则改”的思路，</w:t>
      </w:r>
      <w:r>
        <w:rPr>
          <w:rFonts w:hint="eastAsia" w:ascii="Times New Roman" w:hAnsi="Times New Roman" w:eastAsia="仿宋"/>
          <w:b w:val="0"/>
          <w:bCs w:val="0"/>
          <w:color w:val="000000" w:themeColor="text1"/>
          <w:spacing w:val="0"/>
          <w:sz w:val="32"/>
          <w:szCs w:val="32"/>
          <w:lang w:val="en-US" w:eastAsia="zh-CN"/>
        </w:rPr>
        <w:t>采取多种方式，到</w:t>
      </w:r>
      <w:r>
        <w:rPr>
          <w:rFonts w:ascii="Times New Roman" w:hAnsi="Times New Roman" w:eastAsia="仿宋"/>
          <w:b w:val="0"/>
          <w:bCs w:val="0"/>
          <w:color w:val="000000" w:themeColor="text1"/>
          <w:spacing w:val="0"/>
          <w:sz w:val="32"/>
          <w:szCs w:val="32"/>
          <w:lang w:val="en-US" w:eastAsia="zh-CN"/>
        </w:rPr>
        <w:t>2025年</w:t>
      </w:r>
      <w:r>
        <w:rPr>
          <w:rFonts w:hint="eastAsia" w:ascii="Times New Roman" w:hAnsi="Times New Roman" w:eastAsia="仿宋"/>
          <w:b w:val="0"/>
          <w:bCs w:val="0"/>
          <w:color w:val="000000" w:themeColor="text1"/>
          <w:spacing w:val="0"/>
          <w:sz w:val="32"/>
          <w:szCs w:val="32"/>
          <w:lang w:val="en-US" w:eastAsia="zh-CN"/>
        </w:rPr>
        <w:t>6月底前全部实现</w:t>
      </w:r>
      <w:r>
        <w:rPr>
          <w:rFonts w:ascii="Times New Roman" w:hAnsi="Times New Roman" w:eastAsia="仿宋"/>
          <w:b w:val="0"/>
          <w:bCs w:val="0"/>
          <w:color w:val="000000" w:themeColor="text1"/>
          <w:spacing w:val="0"/>
          <w:sz w:val="32"/>
          <w:szCs w:val="32"/>
        </w:rPr>
        <w:t>产权</w:t>
      </w:r>
      <w:r>
        <w:rPr>
          <w:rFonts w:hint="eastAsia" w:ascii="Times New Roman" w:hAnsi="Times New Roman" w:eastAsia="仿宋"/>
          <w:b w:val="0"/>
          <w:bCs w:val="0"/>
          <w:color w:val="000000" w:themeColor="text1"/>
          <w:spacing w:val="0"/>
          <w:sz w:val="32"/>
          <w:szCs w:val="32"/>
          <w:lang w:val="en-US" w:eastAsia="zh-CN"/>
        </w:rPr>
        <w:t>公有</w:t>
      </w:r>
      <w:r>
        <w:rPr>
          <w:rFonts w:ascii="Times New Roman" w:hAnsi="Times New Roman" w:eastAsia="仿宋"/>
          <w:b w:val="0"/>
          <w:bCs w:val="0"/>
          <w:color w:val="000000" w:themeColor="text1"/>
          <w:spacing w:val="0"/>
          <w:sz w:val="32"/>
          <w:szCs w:val="32"/>
          <w:lang w:val="en-US" w:eastAsia="zh-CN"/>
        </w:rPr>
        <w:t>。</w:t>
      </w:r>
      <w:r>
        <w:rPr>
          <w:rFonts w:hint="eastAsia" w:ascii="Times New Roman" w:hAnsi="Times New Roman" w:eastAsia="仿宋"/>
          <w:b w:val="0"/>
          <w:bCs w:val="0"/>
          <w:color w:val="000000" w:themeColor="text1"/>
          <w:spacing w:val="0"/>
          <w:sz w:val="32"/>
          <w:szCs w:val="32"/>
          <w:lang w:val="en-US" w:eastAsia="zh-CN"/>
        </w:rPr>
        <w:t>未规划为样板村卫生室，通过新建、改扩建实现产权为公有的村卫生室，</w:t>
      </w:r>
      <w:r>
        <w:rPr>
          <w:rFonts w:ascii="Times New Roman" w:hAnsi="Times New Roman" w:eastAsia="仿宋"/>
          <w:b w:val="0"/>
          <w:bCs w:val="0"/>
          <w:color w:val="000000" w:themeColor="text1"/>
          <w:spacing w:val="0"/>
          <w:sz w:val="32"/>
          <w:szCs w:val="32"/>
          <w:lang w:val="en-US" w:eastAsia="zh-CN"/>
        </w:rPr>
        <w:t>区级财政按照新建</w:t>
      </w:r>
      <w:r>
        <w:rPr>
          <w:rFonts w:hint="eastAsia" w:ascii="Times New Roman" w:hAnsi="Times New Roman" w:eastAsia="仿宋"/>
          <w:b w:val="0"/>
          <w:bCs w:val="0"/>
          <w:color w:val="000000" w:themeColor="text1"/>
          <w:spacing w:val="0"/>
          <w:sz w:val="32"/>
          <w:szCs w:val="32"/>
          <w:lang w:val="en-US" w:eastAsia="zh-CN"/>
        </w:rPr>
        <w:t>一个5</w:t>
      </w:r>
      <w:r>
        <w:rPr>
          <w:rFonts w:ascii="Times New Roman" w:hAnsi="Times New Roman" w:eastAsia="仿宋"/>
          <w:b w:val="0"/>
          <w:bCs w:val="0"/>
          <w:color w:val="000000" w:themeColor="text1"/>
          <w:spacing w:val="0"/>
          <w:sz w:val="32"/>
          <w:szCs w:val="32"/>
          <w:lang w:val="en-US" w:eastAsia="zh-CN"/>
        </w:rPr>
        <w:t>万元、改扩建</w:t>
      </w:r>
      <w:r>
        <w:rPr>
          <w:rFonts w:hint="eastAsia" w:ascii="Times New Roman" w:hAnsi="Times New Roman" w:eastAsia="仿宋"/>
          <w:b w:val="0"/>
          <w:bCs w:val="0"/>
          <w:color w:val="000000" w:themeColor="text1"/>
          <w:spacing w:val="0"/>
          <w:sz w:val="32"/>
          <w:szCs w:val="32"/>
          <w:lang w:val="en-US" w:eastAsia="zh-CN"/>
        </w:rPr>
        <w:t>一个2</w:t>
      </w:r>
      <w:r>
        <w:rPr>
          <w:rFonts w:ascii="Times New Roman" w:hAnsi="Times New Roman" w:eastAsia="仿宋"/>
          <w:b w:val="0"/>
          <w:bCs w:val="0"/>
          <w:color w:val="000000" w:themeColor="text1"/>
          <w:spacing w:val="0"/>
          <w:sz w:val="32"/>
          <w:szCs w:val="32"/>
          <w:lang w:val="en-US" w:eastAsia="zh-CN"/>
        </w:rPr>
        <w:t>万元的标准</w:t>
      </w:r>
      <w:r>
        <w:rPr>
          <w:rFonts w:hint="eastAsia" w:ascii="Times New Roman" w:hAnsi="Times New Roman" w:eastAsia="仿宋"/>
          <w:b w:val="0"/>
          <w:bCs w:val="0"/>
          <w:color w:val="000000" w:themeColor="text1"/>
          <w:spacing w:val="0"/>
          <w:sz w:val="32"/>
          <w:szCs w:val="32"/>
          <w:lang w:val="en-US" w:eastAsia="zh-CN"/>
        </w:rPr>
        <w:t>拨付奖补资金</w:t>
      </w:r>
      <w:r>
        <w:rPr>
          <w:rFonts w:ascii="Times New Roman" w:hAnsi="Times New Roman" w:eastAsia="仿宋"/>
          <w:b w:val="0"/>
          <w:bCs w:val="0"/>
          <w:color w:val="000000" w:themeColor="text1"/>
          <w:spacing w:val="0"/>
          <w:sz w:val="32"/>
          <w:szCs w:val="32"/>
          <w:lang w:val="en-US" w:eastAsia="zh-CN"/>
        </w:rPr>
        <w:t>，差额部分由各镇（街）</w:t>
      </w:r>
      <w:r>
        <w:rPr>
          <w:rFonts w:hint="eastAsia" w:ascii="Times New Roman" w:hAnsi="Times New Roman" w:eastAsia="仿宋"/>
          <w:b w:val="0"/>
          <w:bCs w:val="0"/>
          <w:color w:val="000000" w:themeColor="text1"/>
          <w:spacing w:val="0"/>
          <w:sz w:val="32"/>
          <w:szCs w:val="32"/>
          <w:lang w:val="en-US" w:eastAsia="zh-CN"/>
        </w:rPr>
        <w:t>予以保障。</w:t>
      </w:r>
      <w:r>
        <w:rPr>
          <w:rFonts w:hint="eastAsia" w:ascii="楷体" w:hAnsi="楷体" w:eastAsia="楷体"/>
          <w:b w:val="0"/>
          <w:bCs w:val="0"/>
          <w:color w:val="000000" w:themeColor="text1"/>
          <w:spacing w:val="0"/>
          <w:sz w:val="32"/>
          <w:szCs w:val="32"/>
          <w:lang w:val="en-US" w:eastAsia="zh-CN"/>
        </w:rPr>
        <w:t>（责任单位：区卫健局、区财政局、区自然资源局、薛城规划中心）</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楷体" w:hAnsi="楷体" w:eastAsia="楷体"/>
          <w:b w:val="0"/>
          <w:bCs w:val="0"/>
          <w:color w:val="000000" w:themeColor="text1"/>
          <w:spacing w:val="0"/>
          <w:sz w:val="32"/>
          <w:szCs w:val="32"/>
          <w:lang w:val="en-US" w:eastAsia="zh-CN"/>
        </w:rPr>
      </w:pPr>
      <w:r>
        <w:rPr>
          <w:rFonts w:ascii="楷体" w:hAnsi="楷体" w:eastAsia="楷体"/>
          <w:b w:val="0"/>
          <w:bCs w:val="0"/>
          <w:color w:val="000000" w:themeColor="text1"/>
          <w:spacing w:val="0"/>
          <w:sz w:val="32"/>
          <w:szCs w:val="32"/>
          <w:lang w:val="en-US" w:eastAsia="zh-CN"/>
        </w:rPr>
        <w:t>（二）实施村卫生室服务能力提升行动</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6</w:t>
      </w:r>
      <w:r>
        <w:rPr>
          <w:rFonts w:ascii="Times New Roman" w:hAnsi="Times New Roman" w:eastAsia="仿宋"/>
          <w:b w:val="0"/>
          <w:bCs w:val="0"/>
          <w:color w:val="000000" w:themeColor="text1"/>
          <w:spacing w:val="0"/>
          <w:sz w:val="32"/>
          <w:szCs w:val="32"/>
          <w:lang w:val="en-US" w:eastAsia="zh-CN"/>
        </w:rPr>
        <w:t>、完善人员配备。</w:t>
      </w:r>
      <w:r>
        <w:rPr>
          <w:rFonts w:hint="eastAsia" w:ascii="Times New Roman" w:hAnsi="Times New Roman" w:eastAsia="仿宋"/>
          <w:b w:val="0"/>
          <w:bCs w:val="0"/>
          <w:color w:val="000000" w:themeColor="text1"/>
          <w:spacing w:val="0"/>
          <w:sz w:val="32"/>
          <w:szCs w:val="32"/>
          <w:lang w:val="en-US" w:eastAsia="zh-CN"/>
        </w:rPr>
        <w:t>到</w:t>
      </w:r>
      <w:r>
        <w:rPr>
          <w:rFonts w:ascii="Times New Roman" w:hAnsi="Times New Roman" w:eastAsia="仿宋"/>
          <w:b w:val="0"/>
          <w:bCs w:val="0"/>
          <w:color w:val="000000" w:themeColor="text1"/>
          <w:spacing w:val="0"/>
          <w:sz w:val="32"/>
          <w:szCs w:val="32"/>
          <w:lang w:val="en-US" w:eastAsia="zh-CN"/>
        </w:rPr>
        <w:t>2026年底，全区配备乡村医生比例</w:t>
      </w:r>
      <w:r>
        <w:rPr>
          <w:rFonts w:hint="eastAsia" w:ascii="Times New Roman" w:hAnsi="Times New Roman" w:eastAsia="仿宋"/>
          <w:b w:val="0"/>
          <w:bCs w:val="0"/>
          <w:color w:val="000000" w:themeColor="text1"/>
          <w:spacing w:val="0"/>
          <w:sz w:val="32"/>
          <w:szCs w:val="32"/>
          <w:lang w:val="en-US" w:eastAsia="zh-CN"/>
        </w:rPr>
        <w:t>达到</w:t>
      </w:r>
      <w:r>
        <w:rPr>
          <w:rFonts w:ascii="Times New Roman" w:hAnsi="Times New Roman" w:eastAsia="仿宋"/>
          <w:b w:val="0"/>
          <w:bCs w:val="0"/>
          <w:color w:val="000000" w:themeColor="text1"/>
          <w:spacing w:val="0"/>
          <w:sz w:val="32"/>
          <w:szCs w:val="32"/>
          <w:lang w:val="en-US" w:eastAsia="zh-CN"/>
        </w:rPr>
        <w:t>常住人口的1.</w:t>
      </w:r>
      <w:r>
        <w:rPr>
          <w:rFonts w:hint="eastAsia" w:ascii="Times New Roman" w:hAnsi="Times New Roman" w:eastAsia="仿宋"/>
          <w:b w:val="0"/>
          <w:bCs w:val="0"/>
          <w:color w:val="000000" w:themeColor="text1"/>
          <w:spacing w:val="0"/>
          <w:sz w:val="32"/>
          <w:szCs w:val="32"/>
          <w:lang w:val="en-US" w:eastAsia="zh-CN"/>
        </w:rPr>
        <w:t>5</w:t>
      </w:r>
      <w:r>
        <w:rPr>
          <w:rFonts w:ascii="Times New Roman" w:hAnsi="Times New Roman" w:eastAsia="仿宋"/>
          <w:b w:val="0"/>
          <w:bCs w:val="0"/>
          <w:color w:val="000000" w:themeColor="text1"/>
          <w:spacing w:val="0"/>
          <w:sz w:val="32"/>
          <w:szCs w:val="32"/>
          <w:lang w:val="en-US" w:eastAsia="zh-CN"/>
        </w:rPr>
        <w:t>‰</w:t>
      </w:r>
      <w:r>
        <w:rPr>
          <w:rFonts w:hint="eastAsia" w:ascii="Times New Roman" w:hAnsi="Times New Roman" w:eastAsia="仿宋"/>
          <w:b w:val="0"/>
          <w:bCs w:val="0"/>
          <w:color w:val="000000" w:themeColor="text1"/>
          <w:spacing w:val="0"/>
          <w:sz w:val="32"/>
          <w:szCs w:val="32"/>
          <w:lang w:val="en-US" w:eastAsia="zh-CN"/>
        </w:rPr>
        <w:t>以上</w:t>
      </w:r>
      <w:r>
        <w:rPr>
          <w:rFonts w:ascii="Times New Roman" w:hAnsi="Times New Roman" w:eastAsia="仿宋"/>
          <w:b w:val="0"/>
          <w:bCs w:val="0"/>
          <w:color w:val="000000" w:themeColor="text1"/>
          <w:spacing w:val="0"/>
          <w:sz w:val="32"/>
          <w:szCs w:val="32"/>
          <w:lang w:val="en-US" w:eastAsia="zh-CN"/>
        </w:rPr>
        <w:t>，根据村卫生室功能设置、服务范围，统筹合理配备乡村医生。</w:t>
      </w:r>
      <w:r>
        <w:rPr>
          <w:rFonts w:ascii="Times New Roman" w:hAnsi="Times New Roman" w:eastAsia="仿宋"/>
          <w:b w:val="0"/>
          <w:bCs w:val="0"/>
          <w:color w:val="000000" w:themeColor="text1"/>
          <w:spacing w:val="0"/>
          <w:sz w:val="32"/>
          <w:szCs w:val="32"/>
          <w:shd w:val="clear" w:color="auto" w:fill="FFFFFF"/>
        </w:rPr>
        <w:t>样板村卫生室配备2名以上乡村医生，其中至少1名执业（助理）医师或乡村全科执业助理医师、1名能够提供中医药服务的乡村医生。</w:t>
      </w:r>
      <w:r>
        <w:rPr>
          <w:rFonts w:ascii="Times New Roman" w:hAnsi="Times New Roman" w:eastAsia="仿宋"/>
          <w:b w:val="0"/>
          <w:bCs w:val="0"/>
          <w:color w:val="000000" w:themeColor="text1"/>
          <w:spacing w:val="0"/>
          <w:sz w:val="32"/>
          <w:szCs w:val="32"/>
          <w:lang w:val="en-US" w:eastAsia="zh-CN"/>
        </w:rPr>
        <w:t>鼓励镇卫生院（社区卫生服务中心）根据实际需要选派驻村医生。</w:t>
      </w:r>
      <w:r>
        <w:rPr>
          <w:rFonts w:ascii="楷体" w:hAnsi="楷体" w:eastAsia="楷体"/>
          <w:b w:val="0"/>
          <w:bCs w:val="0"/>
          <w:color w:val="000000" w:themeColor="text1"/>
          <w:spacing w:val="0"/>
          <w:sz w:val="32"/>
          <w:szCs w:val="32"/>
          <w:lang w:val="en-US" w:eastAsia="zh-CN"/>
        </w:rPr>
        <w:t>（责任单位：区卫健局）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7</w:t>
      </w:r>
      <w:r>
        <w:rPr>
          <w:rFonts w:ascii="Times New Roman" w:hAnsi="Times New Roman" w:eastAsia="仿宋"/>
          <w:b w:val="0"/>
          <w:bCs w:val="0"/>
          <w:color w:val="000000" w:themeColor="text1"/>
          <w:spacing w:val="0"/>
          <w:sz w:val="32"/>
          <w:szCs w:val="32"/>
          <w:lang w:val="en-US" w:eastAsia="zh-CN"/>
        </w:rPr>
        <w:t>、强化队伍建设。拓宽招引渠道，</w:t>
      </w:r>
      <w:r>
        <w:rPr>
          <w:rFonts w:ascii="Times New Roman" w:hAnsi="Times New Roman" w:eastAsia="仿宋"/>
          <w:b w:val="0"/>
          <w:bCs w:val="0"/>
          <w:color w:val="000000" w:themeColor="text1"/>
          <w:spacing w:val="0"/>
          <w:sz w:val="32"/>
          <w:szCs w:val="32"/>
          <w:shd w:val="clear" w:color="auto" w:fill="FFFFFF"/>
        </w:rPr>
        <w:t>创新人才使用机制，提高乡村医疗卫生岗位吸引力。</w:t>
      </w:r>
      <w:r>
        <w:rPr>
          <w:rFonts w:ascii="Times New Roman" w:hAnsi="Times New Roman" w:eastAsia="仿宋"/>
          <w:b w:val="0"/>
          <w:bCs w:val="0"/>
          <w:color w:val="000000" w:themeColor="text1"/>
          <w:spacing w:val="0"/>
          <w:sz w:val="32"/>
          <w:szCs w:val="32"/>
          <w:lang w:val="en-US" w:eastAsia="zh-CN"/>
        </w:rPr>
        <w:t>充分利用“榴枣归乡”等人才招引政策，鼓励引导区外医疗机构在编在职人员、退休医生回乡工作定居。</w:t>
      </w:r>
      <w:r>
        <w:rPr>
          <w:rFonts w:ascii="Times New Roman" w:hAnsi="Times New Roman" w:eastAsia="仿宋"/>
          <w:b w:val="0"/>
          <w:bCs w:val="0"/>
          <w:color w:val="000000" w:themeColor="text1"/>
          <w:spacing w:val="0"/>
          <w:sz w:val="32"/>
          <w:szCs w:val="32"/>
          <w:shd w:val="clear" w:color="auto" w:fill="FFFFFF"/>
        </w:rPr>
        <w:t>全面</w:t>
      </w:r>
      <w:r>
        <w:rPr>
          <w:rFonts w:ascii="Times New Roman" w:hAnsi="Times New Roman" w:eastAsia="仿宋"/>
          <w:b w:val="0"/>
          <w:bCs w:val="0"/>
          <w:color w:val="000000" w:themeColor="text1"/>
          <w:spacing w:val="0"/>
          <w:sz w:val="32"/>
          <w:szCs w:val="32"/>
        </w:rPr>
        <w:t>实施大学生乡村医生专项计划，推行“县招乡管村用”机制，</w:t>
      </w:r>
      <w:r>
        <w:rPr>
          <w:rFonts w:ascii="Times New Roman" w:hAnsi="Times New Roman" w:eastAsia="仿宋"/>
          <w:b w:val="0"/>
          <w:bCs w:val="0"/>
          <w:color w:val="000000" w:themeColor="text1"/>
          <w:spacing w:val="0"/>
          <w:sz w:val="32"/>
          <w:szCs w:val="32"/>
          <w:shd w:val="clear" w:color="auto" w:fill="FFFFFF"/>
        </w:rPr>
        <w:t>落</w:t>
      </w:r>
      <w:r>
        <w:rPr>
          <w:rFonts w:ascii="Times New Roman" w:hAnsi="Times New Roman" w:eastAsia="仿宋"/>
          <w:b w:val="0"/>
          <w:bCs w:val="0"/>
          <w:color w:val="000000" w:themeColor="text1"/>
          <w:spacing w:val="0"/>
          <w:sz w:val="32"/>
          <w:szCs w:val="32"/>
        </w:rPr>
        <w:t>实医学专业高校</w:t>
      </w:r>
      <w:r>
        <w:rPr>
          <w:rFonts w:ascii="Times New Roman" w:hAnsi="Times New Roman" w:eastAsia="仿宋"/>
          <w:b w:val="0"/>
          <w:bCs w:val="0"/>
          <w:color w:val="000000" w:themeColor="text1"/>
          <w:spacing w:val="0"/>
          <w:sz w:val="32"/>
          <w:szCs w:val="32"/>
          <w:shd w:val="clear" w:color="auto" w:fill="FFFFFF"/>
        </w:rPr>
        <w:t>毕业生免试申请乡村医生执业注册政策，</w:t>
      </w:r>
      <w:r>
        <w:rPr>
          <w:rFonts w:ascii="Times New Roman" w:hAnsi="Times New Roman" w:eastAsia="仿宋"/>
          <w:b w:val="0"/>
          <w:bCs w:val="0"/>
          <w:color w:val="000000" w:themeColor="text1"/>
          <w:spacing w:val="0"/>
          <w:sz w:val="32"/>
          <w:szCs w:val="32"/>
          <w:lang w:val="en-US" w:eastAsia="zh-CN"/>
        </w:rPr>
        <w:t>利用镇卫生院</w:t>
      </w:r>
      <w:r>
        <w:rPr>
          <w:rFonts w:hint="eastAsia" w:ascii="Times New Roman" w:hAnsi="Times New Roman" w:eastAsia="仿宋"/>
          <w:b w:val="0"/>
          <w:bCs w:val="0"/>
          <w:color w:val="000000" w:themeColor="text1"/>
          <w:spacing w:val="0"/>
          <w:sz w:val="32"/>
          <w:szCs w:val="32"/>
          <w:lang w:val="en-US" w:eastAsia="zh-CN"/>
        </w:rPr>
        <w:t>（社区卫生服务中心）</w:t>
      </w:r>
      <w:r>
        <w:rPr>
          <w:rFonts w:ascii="Times New Roman" w:hAnsi="Times New Roman" w:eastAsia="仿宋"/>
          <w:b w:val="0"/>
          <w:bCs w:val="0"/>
          <w:color w:val="000000" w:themeColor="text1"/>
          <w:spacing w:val="0"/>
          <w:sz w:val="32"/>
          <w:szCs w:val="32"/>
          <w:lang w:val="en-US" w:eastAsia="zh-CN"/>
        </w:rPr>
        <w:t>空编招聘</w:t>
      </w:r>
      <w:r>
        <w:rPr>
          <w:rFonts w:hint="eastAsia" w:ascii="Times New Roman" w:hAnsi="Times New Roman" w:eastAsia="仿宋"/>
          <w:b w:val="0"/>
          <w:bCs w:val="0"/>
          <w:color w:val="000000" w:themeColor="text1"/>
          <w:spacing w:val="0"/>
          <w:sz w:val="32"/>
          <w:szCs w:val="32"/>
          <w:lang w:val="en-US" w:eastAsia="zh-CN"/>
        </w:rPr>
        <w:t>一批</w:t>
      </w:r>
      <w:r>
        <w:rPr>
          <w:rFonts w:ascii="Times New Roman" w:hAnsi="Times New Roman" w:eastAsia="仿宋"/>
          <w:b w:val="0"/>
          <w:bCs w:val="0"/>
          <w:color w:val="000000" w:themeColor="text1"/>
          <w:spacing w:val="0"/>
          <w:sz w:val="32"/>
          <w:szCs w:val="32"/>
          <w:lang w:val="en-US" w:eastAsia="zh-CN"/>
        </w:rPr>
        <w:t>医学专业大专及以上学历人员</w:t>
      </w:r>
      <w:r>
        <w:rPr>
          <w:rFonts w:hint="eastAsia" w:ascii="Times New Roman" w:hAnsi="Times New Roman" w:eastAsia="仿宋"/>
          <w:b w:val="0"/>
          <w:bCs w:val="0"/>
          <w:color w:val="000000" w:themeColor="text1"/>
          <w:spacing w:val="0"/>
          <w:sz w:val="32"/>
          <w:szCs w:val="32"/>
          <w:lang w:val="en-US" w:eastAsia="zh-CN"/>
        </w:rPr>
        <w:t>，以及具备执业（助理）医师、乡村全科执业助理医师资格的人员</w:t>
      </w:r>
      <w:r>
        <w:rPr>
          <w:rFonts w:ascii="Times New Roman" w:hAnsi="Times New Roman" w:eastAsia="仿宋"/>
          <w:b w:val="0"/>
          <w:bCs w:val="0"/>
          <w:color w:val="000000" w:themeColor="text1"/>
          <w:spacing w:val="0"/>
          <w:sz w:val="32"/>
          <w:szCs w:val="32"/>
          <w:lang w:val="en-US" w:eastAsia="zh-CN"/>
        </w:rPr>
        <w:t>到村卫生室工作。</w:t>
      </w:r>
      <w:r>
        <w:rPr>
          <w:rFonts w:hint="eastAsia" w:ascii="Times New Roman" w:hAnsi="Times New Roman" w:eastAsia="仿宋"/>
          <w:b w:val="0"/>
          <w:bCs w:val="0"/>
          <w:color w:val="000000" w:themeColor="text1"/>
          <w:spacing w:val="0"/>
          <w:sz w:val="32"/>
          <w:szCs w:val="32"/>
          <w:lang w:val="en-US" w:eastAsia="zh-CN"/>
        </w:rPr>
        <w:t>执业（助理）医师在</w:t>
      </w:r>
      <w:r>
        <w:rPr>
          <w:rFonts w:ascii="Times New Roman" w:hAnsi="Times New Roman" w:eastAsia="仿宋"/>
          <w:b w:val="0"/>
          <w:bCs w:val="0"/>
          <w:color w:val="000000" w:themeColor="text1"/>
          <w:spacing w:val="0"/>
          <w:sz w:val="32"/>
          <w:szCs w:val="32"/>
          <w:lang w:val="en-US" w:eastAsia="zh-CN"/>
        </w:rPr>
        <w:t>村卫生室</w:t>
      </w:r>
      <w:r>
        <w:rPr>
          <w:rFonts w:hint="eastAsia" w:ascii="Times New Roman" w:hAnsi="Times New Roman" w:eastAsia="仿宋"/>
          <w:b w:val="0"/>
          <w:bCs w:val="0"/>
          <w:color w:val="000000" w:themeColor="text1"/>
          <w:spacing w:val="0"/>
          <w:sz w:val="32"/>
          <w:szCs w:val="32"/>
          <w:lang w:val="en-US" w:eastAsia="zh-CN"/>
        </w:rPr>
        <w:t>执业期间，执业范围可加注全科医学科。开展能力培训，</w:t>
      </w:r>
      <w:r>
        <w:rPr>
          <w:rFonts w:ascii="Times New Roman" w:hAnsi="Times New Roman" w:eastAsia="仿宋"/>
          <w:b w:val="0"/>
          <w:bCs w:val="0"/>
          <w:color w:val="000000" w:themeColor="text1"/>
          <w:spacing w:val="0"/>
          <w:sz w:val="32"/>
          <w:szCs w:val="32"/>
          <w:lang w:val="en-US" w:eastAsia="zh-CN"/>
        </w:rPr>
        <w:t>落实全市乡村医生“千医培训”任务，每年培训乡村医生100名以上，利用3年时间对全区乡村医生轮训一遍。引导符合条件的在岗乡村医生参加继续教育和执业（助理）医师资格考试。</w:t>
      </w:r>
      <w:r>
        <w:rPr>
          <w:rFonts w:ascii="楷体" w:hAnsi="楷体" w:eastAsia="楷体"/>
          <w:b w:val="0"/>
          <w:bCs w:val="0"/>
          <w:color w:val="000000" w:themeColor="text1"/>
          <w:spacing w:val="0"/>
          <w:sz w:val="32"/>
          <w:szCs w:val="32"/>
          <w:lang w:val="en-US" w:eastAsia="zh-CN"/>
        </w:rPr>
        <w:t>（责任单位：区卫健局、区委编办、区人社局、区行政审批</w:t>
      </w:r>
      <w:r>
        <w:rPr>
          <w:rFonts w:hint="eastAsia" w:ascii="楷体" w:hAnsi="楷体" w:eastAsia="楷体"/>
          <w:b w:val="0"/>
          <w:bCs w:val="0"/>
          <w:color w:val="000000" w:themeColor="text1"/>
          <w:spacing w:val="0"/>
          <w:sz w:val="32"/>
          <w:szCs w:val="32"/>
          <w:lang w:val="en-US" w:eastAsia="zh-CN"/>
        </w:rPr>
        <w:t>服务</w:t>
      </w:r>
      <w:r>
        <w:rPr>
          <w:rFonts w:ascii="楷体" w:hAnsi="楷体" w:eastAsia="楷体"/>
          <w:b w:val="0"/>
          <w:bCs w:val="0"/>
          <w:color w:val="000000" w:themeColor="text1"/>
          <w:spacing w:val="0"/>
          <w:sz w:val="32"/>
          <w:szCs w:val="32"/>
          <w:lang w:val="en-US" w:eastAsia="zh-CN"/>
        </w:rPr>
        <w:t>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8</w:t>
      </w:r>
      <w:r>
        <w:rPr>
          <w:rFonts w:ascii="Times New Roman" w:hAnsi="Times New Roman" w:eastAsia="仿宋"/>
          <w:b w:val="0"/>
          <w:bCs w:val="0"/>
          <w:color w:val="000000" w:themeColor="text1"/>
          <w:spacing w:val="0"/>
          <w:sz w:val="32"/>
          <w:szCs w:val="32"/>
          <w:lang w:val="en-US" w:eastAsia="zh-CN"/>
        </w:rPr>
        <w:t>、拓展服务功能。强化村卫生室基本医疗服务功能，</w:t>
      </w:r>
      <w:r>
        <w:rPr>
          <w:rFonts w:ascii="Times New Roman" w:hAnsi="Times New Roman" w:eastAsia="仿宋"/>
          <w:b w:val="0"/>
          <w:bCs w:val="0"/>
          <w:color w:val="000000" w:themeColor="text1"/>
          <w:spacing w:val="0"/>
          <w:sz w:val="32"/>
          <w:szCs w:val="32"/>
          <w:shd w:val="clear" w:color="auto" w:fill="FFFFFF"/>
        </w:rPr>
        <w:t>努力满足农村多元化就医需求，</w:t>
      </w:r>
      <w:r>
        <w:rPr>
          <w:rFonts w:ascii="Times New Roman" w:hAnsi="Times New Roman" w:eastAsia="仿宋"/>
          <w:b w:val="0"/>
          <w:bCs w:val="0"/>
          <w:color w:val="000000" w:themeColor="text1"/>
          <w:spacing w:val="0"/>
          <w:sz w:val="32"/>
          <w:szCs w:val="32"/>
          <w:lang w:val="en-US" w:eastAsia="zh-CN"/>
        </w:rPr>
        <w:t>积极推广中医适宜技术，扩大中医药服务供给。样板村卫生室、配有执业（助理）医师的村卫生室在一般村卫生室功能基础上，增加急救性外科止血等服务项目。探索增设特色诊疗项目，鼓励开展心电图检查、胎心监护、康复理疗、居家养老等服务。全面实施医防融合一体化诊疗服务模式，2024年村卫生室全部建成“三高之家”，实现“三高六病”患者全过程、全周期健康管理。</w:t>
      </w:r>
      <w:r>
        <w:rPr>
          <w:rFonts w:ascii="Times New Roman" w:hAnsi="Times New Roman" w:eastAsia="仿宋"/>
          <w:b w:val="0"/>
          <w:bCs w:val="0"/>
          <w:color w:val="000000" w:themeColor="text1"/>
          <w:spacing w:val="0"/>
          <w:sz w:val="32"/>
          <w:szCs w:val="32"/>
          <w:shd w:val="clear" w:color="auto" w:fill="FFFFFF"/>
        </w:rPr>
        <w:t>持续扩大基本公共卫生服务覆盖面，引导</w:t>
      </w:r>
      <w:r>
        <w:rPr>
          <w:rFonts w:ascii="Times New Roman" w:hAnsi="Times New Roman" w:eastAsia="仿宋"/>
          <w:b w:val="0"/>
          <w:bCs w:val="0"/>
          <w:color w:val="000000" w:themeColor="text1"/>
          <w:spacing w:val="0"/>
          <w:kern w:val="0"/>
          <w:sz w:val="32"/>
          <w:szCs w:val="32"/>
        </w:rPr>
        <w:t>乡村医生规范开展基本公共卫生服务项目</w:t>
      </w:r>
      <w:r>
        <w:rPr>
          <w:rFonts w:ascii="Times New Roman" w:hAnsi="Times New Roman" w:eastAsia="仿宋"/>
          <w:b w:val="0"/>
          <w:bCs w:val="0"/>
          <w:color w:val="000000" w:themeColor="text1"/>
          <w:spacing w:val="0"/>
          <w:kern w:val="0"/>
          <w:sz w:val="32"/>
          <w:szCs w:val="32"/>
          <w:lang w:eastAsia="zh-CN"/>
        </w:rPr>
        <w:t>。</w:t>
      </w:r>
      <w:r>
        <w:rPr>
          <w:rFonts w:ascii="Times New Roman" w:hAnsi="Times New Roman" w:eastAsia="仿宋"/>
          <w:b w:val="0"/>
          <w:bCs w:val="0"/>
          <w:color w:val="000000" w:themeColor="text1"/>
          <w:spacing w:val="0"/>
          <w:sz w:val="32"/>
          <w:szCs w:val="32"/>
          <w:lang w:val="en-US" w:eastAsia="zh-CN"/>
        </w:rPr>
        <w:t>支持乡村医生开展家庭签约服务，落实基本公共卫生服务经费、医保基金、签约居民对家庭医生签约服务费分担支持责任，建立完善签约服务考核评价机制。加强传染病防控宣传教育，强化传染病发现报告意识，提升监测预警能力，不断提高传染病和卫生应急处置水平，筑牢传染病防控网底。</w:t>
      </w:r>
      <w:r>
        <w:rPr>
          <w:rFonts w:ascii="楷体" w:hAnsi="楷体" w:eastAsia="楷体"/>
          <w:b w:val="0"/>
          <w:bCs w:val="0"/>
          <w:color w:val="000000" w:themeColor="text1"/>
          <w:spacing w:val="0"/>
          <w:sz w:val="32"/>
          <w:szCs w:val="32"/>
          <w:lang w:val="en-US" w:eastAsia="zh-CN"/>
        </w:rPr>
        <w:t>（责任单位：区卫健局、区财政局、区医保局）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9</w:t>
      </w:r>
      <w:r>
        <w:rPr>
          <w:rFonts w:ascii="Times New Roman" w:hAnsi="Times New Roman" w:eastAsia="仿宋"/>
          <w:b w:val="0"/>
          <w:bCs w:val="0"/>
          <w:color w:val="000000" w:themeColor="text1"/>
          <w:spacing w:val="0"/>
          <w:sz w:val="32"/>
          <w:szCs w:val="32"/>
          <w:lang w:val="en-US" w:eastAsia="zh-CN"/>
        </w:rPr>
        <w:t>、提升服务水平。强化信息赋能，</w:t>
      </w:r>
      <w:r>
        <w:rPr>
          <w:rFonts w:hint="eastAsia" w:ascii="Times New Roman" w:hAnsi="Times New Roman" w:eastAsia="仿宋"/>
          <w:b w:val="0"/>
          <w:bCs w:val="0"/>
          <w:color w:val="000000" w:themeColor="text1"/>
          <w:spacing w:val="0"/>
          <w:sz w:val="32"/>
          <w:szCs w:val="32"/>
          <w:lang w:val="en-US" w:eastAsia="zh-CN"/>
        </w:rPr>
        <w:t>进一步</w:t>
      </w:r>
      <w:r>
        <w:rPr>
          <w:rFonts w:ascii="Times New Roman" w:hAnsi="Times New Roman" w:eastAsia="仿宋"/>
          <w:b w:val="0"/>
          <w:bCs w:val="0"/>
          <w:color w:val="000000" w:themeColor="text1"/>
          <w:spacing w:val="0"/>
          <w:sz w:val="32"/>
          <w:szCs w:val="32"/>
          <w:lang w:val="en-US" w:eastAsia="zh-CN"/>
        </w:rPr>
        <w:t>优化区域全民健康信息平台，实现区内基层医疗卫生机构HIS、基本公共卫生服务、家庭医生签约服务、智能随访及查体等5个系统互联互通、数据共享</w:t>
      </w:r>
      <w:r>
        <w:rPr>
          <w:rFonts w:hint="eastAsia" w:ascii="Times New Roman" w:hAnsi="Times New Roman" w:eastAsia="仿宋"/>
          <w:b w:val="0"/>
          <w:bCs w:val="0"/>
          <w:color w:val="000000" w:themeColor="text1"/>
          <w:spacing w:val="0"/>
          <w:sz w:val="32"/>
          <w:szCs w:val="32"/>
          <w:lang w:val="en-US" w:eastAsia="zh-CN"/>
        </w:rPr>
        <w:t>。</w:t>
      </w:r>
      <w:r>
        <w:rPr>
          <w:rFonts w:ascii="Times New Roman" w:hAnsi="Times New Roman" w:eastAsia="仿宋"/>
          <w:b w:val="0"/>
          <w:bCs w:val="0"/>
          <w:color w:val="000000" w:themeColor="text1"/>
          <w:spacing w:val="0"/>
          <w:sz w:val="32"/>
          <w:szCs w:val="32"/>
        </w:rPr>
        <w:t>力争2025 年实现村卫生室远程医疗全覆盖。</w:t>
      </w:r>
      <w:r>
        <w:rPr>
          <w:rFonts w:ascii="Times New Roman" w:hAnsi="Times New Roman" w:eastAsia="仿宋"/>
          <w:b w:val="0"/>
          <w:bCs w:val="0"/>
          <w:color w:val="000000" w:themeColor="text1"/>
          <w:spacing w:val="0"/>
          <w:kern w:val="0"/>
          <w:sz w:val="32"/>
          <w:szCs w:val="32"/>
        </w:rPr>
        <w:t>建立健全城市支援健康乡村建设机制，完善城乡协同、以城带乡帮扶机制，</w:t>
      </w:r>
      <w:r>
        <w:rPr>
          <w:rFonts w:ascii="Times New Roman" w:hAnsi="Times New Roman" w:eastAsia="仿宋"/>
          <w:b w:val="0"/>
          <w:bCs w:val="0"/>
          <w:color w:val="000000" w:themeColor="text1"/>
          <w:spacing w:val="0"/>
          <w:kern w:val="0"/>
          <w:sz w:val="32"/>
          <w:szCs w:val="32"/>
          <w:lang w:val="en-US" w:eastAsia="zh-CN"/>
        </w:rPr>
        <w:t>推进</w:t>
      </w:r>
      <w:r>
        <w:rPr>
          <w:rFonts w:ascii="Times New Roman" w:hAnsi="Times New Roman" w:eastAsia="仿宋"/>
          <w:b w:val="0"/>
          <w:bCs w:val="0"/>
          <w:color w:val="000000" w:themeColor="text1"/>
          <w:spacing w:val="0"/>
          <w:kern w:val="0"/>
          <w:sz w:val="32"/>
          <w:szCs w:val="32"/>
        </w:rPr>
        <w:t>县域医共体</w:t>
      </w:r>
      <w:r>
        <w:rPr>
          <w:rFonts w:ascii="Times New Roman" w:hAnsi="Times New Roman" w:eastAsia="仿宋"/>
          <w:b w:val="0"/>
          <w:bCs w:val="0"/>
          <w:color w:val="000000" w:themeColor="text1"/>
          <w:spacing w:val="0"/>
          <w:kern w:val="0"/>
          <w:sz w:val="32"/>
          <w:szCs w:val="32"/>
          <w:lang w:val="en-US" w:eastAsia="zh-CN"/>
        </w:rPr>
        <w:t>建设</w:t>
      </w: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sz w:val="32"/>
          <w:szCs w:val="32"/>
          <w:lang w:val="en-US" w:eastAsia="zh-CN"/>
        </w:rPr>
        <w:t>通过专家派驻、专科共建、临床带教、远程协同等多种模式强化对口支援，提升村卫生室技术水平和服务能力。</w:t>
      </w:r>
      <w:r>
        <w:rPr>
          <w:rFonts w:ascii="楷体" w:hAnsi="楷体" w:eastAsia="楷体"/>
          <w:b w:val="0"/>
          <w:bCs w:val="0"/>
          <w:color w:val="000000" w:themeColor="text1"/>
          <w:spacing w:val="0"/>
          <w:sz w:val="32"/>
          <w:szCs w:val="32"/>
          <w:lang w:val="en-US" w:eastAsia="zh-CN"/>
        </w:rPr>
        <w:t>（责任单位：区卫健局、区大数据中心）</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楷体" w:hAnsi="楷体" w:eastAsia="楷体"/>
          <w:b w:val="0"/>
          <w:bCs w:val="0"/>
          <w:color w:val="000000" w:themeColor="text1"/>
          <w:spacing w:val="0"/>
          <w:sz w:val="32"/>
          <w:szCs w:val="32"/>
          <w:lang w:val="en-US" w:eastAsia="zh-CN"/>
        </w:rPr>
      </w:pPr>
      <w:r>
        <w:rPr>
          <w:rFonts w:ascii="楷体" w:hAnsi="楷体" w:eastAsia="楷体"/>
          <w:b w:val="0"/>
          <w:bCs w:val="0"/>
          <w:color w:val="000000" w:themeColor="text1"/>
          <w:spacing w:val="0"/>
          <w:sz w:val="32"/>
          <w:szCs w:val="32"/>
          <w:lang w:val="en-US" w:eastAsia="zh-CN"/>
        </w:rPr>
        <w:t>（三）实施村卫生室规范管理提质行动</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10</w:t>
      </w:r>
      <w:r>
        <w:rPr>
          <w:rFonts w:ascii="Times New Roman" w:hAnsi="Times New Roman" w:eastAsia="仿宋"/>
          <w:b w:val="0"/>
          <w:bCs w:val="0"/>
          <w:color w:val="000000" w:themeColor="text1"/>
          <w:spacing w:val="0"/>
          <w:sz w:val="32"/>
          <w:szCs w:val="32"/>
          <w:lang w:val="en-US" w:eastAsia="zh-CN"/>
        </w:rPr>
        <w:t>、实行一体化管理。</w:t>
      </w:r>
      <w:r>
        <w:rPr>
          <w:rFonts w:hint="eastAsia" w:ascii="Times New Roman" w:hAnsi="Times New Roman" w:eastAsia="仿宋"/>
          <w:b w:val="0"/>
          <w:bCs w:val="0"/>
          <w:color w:val="000000" w:themeColor="text1"/>
          <w:spacing w:val="0"/>
          <w:sz w:val="32"/>
          <w:szCs w:val="32"/>
          <w:lang w:val="en-US" w:eastAsia="zh-CN"/>
        </w:rPr>
        <w:t>以提高基层医疗卫生服务能力为重点，</w:t>
      </w:r>
      <w:r>
        <w:rPr>
          <w:rFonts w:ascii="Times New Roman" w:hAnsi="Times New Roman" w:eastAsia="仿宋"/>
          <w:b w:val="0"/>
          <w:bCs w:val="0"/>
          <w:color w:val="000000" w:themeColor="text1"/>
          <w:spacing w:val="0"/>
          <w:sz w:val="32"/>
          <w:szCs w:val="32"/>
          <w:lang w:val="en-US" w:eastAsia="zh-CN"/>
        </w:rPr>
        <w:t>区卫生健康行政部门对村卫生室实行统一规划和管理。以镇（街）为单位，由镇卫生院（社区卫生服务中心）对村卫生室的行政、人员、业务、药品、财务、绩效评价实行“六统一”管理。鼓励镇卫生院（社区卫生服务中心）领办或延伸举办村卫生室。加强</w:t>
      </w:r>
      <w:r>
        <w:rPr>
          <w:rFonts w:hint="eastAsia" w:ascii="Times New Roman" w:hAnsi="Times New Roman" w:eastAsia="仿宋"/>
          <w:b w:val="0"/>
          <w:bCs w:val="0"/>
          <w:color w:val="000000" w:themeColor="text1"/>
          <w:spacing w:val="0"/>
          <w:sz w:val="32"/>
          <w:szCs w:val="32"/>
          <w:lang w:val="en-US" w:eastAsia="zh-CN"/>
        </w:rPr>
        <w:t>村卫生室</w:t>
      </w:r>
      <w:r>
        <w:rPr>
          <w:rFonts w:ascii="Times New Roman" w:hAnsi="Times New Roman" w:eastAsia="仿宋"/>
          <w:b w:val="0"/>
          <w:bCs w:val="0"/>
          <w:color w:val="000000" w:themeColor="text1"/>
          <w:spacing w:val="0"/>
          <w:sz w:val="32"/>
          <w:szCs w:val="32"/>
          <w:lang w:val="en-US" w:eastAsia="zh-CN"/>
        </w:rPr>
        <w:t>内涵建设，全面推行村卫生室6S管理，</w:t>
      </w:r>
      <w:r>
        <w:rPr>
          <w:rFonts w:hint="eastAsia" w:ascii="Times New Roman" w:hAnsi="Times New Roman" w:eastAsia="仿宋"/>
          <w:b w:val="0"/>
          <w:bCs w:val="0"/>
          <w:color w:val="000000" w:themeColor="text1"/>
          <w:spacing w:val="0"/>
          <w:sz w:val="32"/>
          <w:szCs w:val="32"/>
          <w:lang w:val="en-US" w:eastAsia="zh-CN"/>
        </w:rPr>
        <w:t>提升规范化、标准化、科学化管理水平</w:t>
      </w:r>
      <w:r>
        <w:rPr>
          <w:rFonts w:ascii="Times New Roman" w:hAnsi="Times New Roman" w:eastAsia="仿宋"/>
          <w:b w:val="0"/>
          <w:bCs w:val="0"/>
          <w:color w:val="000000" w:themeColor="text1"/>
          <w:spacing w:val="0"/>
          <w:sz w:val="32"/>
          <w:szCs w:val="32"/>
          <w:lang w:val="en-US" w:eastAsia="zh-CN"/>
        </w:rPr>
        <w:t>。</w:t>
      </w:r>
      <w:r>
        <w:rPr>
          <w:rFonts w:ascii="楷体" w:hAnsi="楷体" w:eastAsia="楷体"/>
          <w:b w:val="0"/>
          <w:bCs w:val="0"/>
          <w:color w:val="000000" w:themeColor="text1"/>
          <w:spacing w:val="0"/>
          <w:sz w:val="32"/>
          <w:szCs w:val="32"/>
          <w:lang w:val="en-US" w:eastAsia="zh-CN"/>
        </w:rPr>
        <w:t>（责任单位：区卫健局）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w:t>
      </w:r>
      <w:r>
        <w:rPr>
          <w:rFonts w:hint="eastAsia" w:ascii="Times New Roman" w:hAnsi="Times New Roman" w:eastAsia="仿宋"/>
          <w:b w:val="0"/>
          <w:bCs w:val="0"/>
          <w:color w:val="000000" w:themeColor="text1"/>
          <w:spacing w:val="0"/>
          <w:sz w:val="32"/>
          <w:szCs w:val="32"/>
          <w:lang w:val="en-US" w:eastAsia="zh-CN"/>
        </w:rPr>
        <w:t>1</w:t>
      </w:r>
      <w:r>
        <w:rPr>
          <w:rFonts w:ascii="Times New Roman" w:hAnsi="Times New Roman" w:eastAsia="仿宋"/>
          <w:b w:val="0"/>
          <w:bCs w:val="0"/>
          <w:color w:val="000000" w:themeColor="text1"/>
          <w:spacing w:val="0"/>
          <w:sz w:val="32"/>
          <w:szCs w:val="32"/>
          <w:lang w:val="en-US" w:eastAsia="zh-CN"/>
        </w:rPr>
        <w:t>、加强穿透式监管。提升综合监管能力，开展村卫生室</w:t>
      </w:r>
      <w:r>
        <w:rPr>
          <w:rFonts w:ascii="Times New Roman" w:hAnsi="Times New Roman" w:eastAsia="仿宋"/>
          <w:b w:val="0"/>
          <w:bCs w:val="0"/>
          <w:i w:val="0"/>
          <w:iCs w:val="0"/>
          <w:color w:val="000000" w:themeColor="text1"/>
          <w:spacing w:val="0"/>
          <w:kern w:val="0"/>
          <w:sz w:val="32"/>
          <w:szCs w:val="32"/>
          <w:shd w:val="clear" w:color="auto" w:fill="FFFFFF"/>
          <w:vertAlign w:val="baseline"/>
          <w:lang w:val="en-US" w:eastAsia="zh-CN"/>
        </w:rPr>
        <w:t>依法执业专项整治，实施全覆盖、全方位监管，</w:t>
      </w:r>
      <w:r>
        <w:rPr>
          <w:rFonts w:ascii="Times New Roman" w:hAnsi="Times New Roman" w:eastAsia="仿宋"/>
          <w:b w:val="0"/>
          <w:bCs w:val="0"/>
          <w:color w:val="000000" w:themeColor="text1"/>
          <w:spacing w:val="0"/>
          <w:sz w:val="32"/>
          <w:szCs w:val="32"/>
          <w:lang w:val="en-US" w:eastAsia="zh-CN"/>
        </w:rPr>
        <w:t>营造良好的执业环境。</w:t>
      </w:r>
      <w:r>
        <w:rPr>
          <w:rFonts w:ascii="Times New Roman" w:hAnsi="Times New Roman" w:eastAsia="仿宋"/>
          <w:b w:val="0"/>
          <w:bCs w:val="0"/>
          <w:color w:val="000000" w:themeColor="text1"/>
          <w:spacing w:val="0"/>
          <w:kern w:val="0"/>
          <w:sz w:val="32"/>
          <w:szCs w:val="32"/>
        </w:rPr>
        <w:t>规</w:t>
      </w:r>
      <w:r>
        <w:rPr>
          <w:rFonts w:ascii="Times New Roman" w:hAnsi="Times New Roman" w:eastAsia="仿宋"/>
          <w:b w:val="0"/>
          <w:bCs w:val="0"/>
          <w:color w:val="000000" w:themeColor="text1"/>
          <w:spacing w:val="0"/>
          <w:sz w:val="32"/>
          <w:szCs w:val="32"/>
        </w:rPr>
        <w:t>范乡村医生医疗服务行为，加强</w:t>
      </w:r>
      <w:r>
        <w:rPr>
          <w:rFonts w:ascii="Times New Roman" w:hAnsi="Times New Roman" w:eastAsia="仿宋"/>
          <w:b w:val="0"/>
          <w:bCs w:val="0"/>
          <w:color w:val="000000" w:themeColor="text1"/>
          <w:spacing w:val="0"/>
          <w:kern w:val="0"/>
          <w:sz w:val="32"/>
          <w:szCs w:val="32"/>
        </w:rPr>
        <w:t>医疗质量与安全管理，严格执行诊疗、操作规程等技术规范，提升合理用药水平</w:t>
      </w:r>
      <w:r>
        <w:rPr>
          <w:rFonts w:ascii="Times New Roman" w:hAnsi="Times New Roman" w:eastAsia="仿宋"/>
          <w:b w:val="0"/>
          <w:bCs w:val="0"/>
          <w:color w:val="000000" w:themeColor="text1"/>
          <w:spacing w:val="0"/>
          <w:kern w:val="0"/>
          <w:sz w:val="32"/>
          <w:szCs w:val="32"/>
          <w:lang w:eastAsia="zh-CN"/>
        </w:rPr>
        <w:t>，</w:t>
      </w:r>
      <w:r>
        <w:rPr>
          <w:rFonts w:ascii="Times New Roman" w:hAnsi="Times New Roman" w:eastAsia="仿宋"/>
          <w:b w:val="0"/>
          <w:bCs w:val="0"/>
          <w:color w:val="000000" w:themeColor="text1"/>
          <w:spacing w:val="0"/>
          <w:sz w:val="32"/>
          <w:szCs w:val="32"/>
          <w:lang w:val="en-US" w:eastAsia="zh-CN"/>
        </w:rPr>
        <w:t>严格执行医疗收费、医保报销等各项政策。</w:t>
      </w:r>
      <w:r>
        <w:rPr>
          <w:rFonts w:ascii="Times New Roman" w:hAnsi="Times New Roman" w:eastAsia="仿宋"/>
          <w:b w:val="0"/>
          <w:bCs w:val="0"/>
          <w:color w:val="000000" w:themeColor="text1"/>
          <w:spacing w:val="0"/>
          <w:kern w:val="0"/>
          <w:sz w:val="32"/>
          <w:szCs w:val="32"/>
        </w:rPr>
        <w:t>乡村医生要依法注册，持证上岗，</w:t>
      </w:r>
      <w:r>
        <w:rPr>
          <w:rFonts w:ascii="Times New Roman" w:hAnsi="Times New Roman" w:eastAsia="仿宋"/>
          <w:b w:val="0"/>
          <w:bCs w:val="0"/>
          <w:color w:val="000000" w:themeColor="text1"/>
          <w:spacing w:val="0"/>
          <w:kern w:val="0"/>
          <w:sz w:val="32"/>
          <w:szCs w:val="32"/>
          <w:lang w:val="en-US" w:eastAsia="zh-CN"/>
        </w:rPr>
        <w:t>规范执业，</w:t>
      </w:r>
      <w:r>
        <w:rPr>
          <w:rFonts w:ascii="Times New Roman" w:hAnsi="Times New Roman" w:eastAsia="仿宋"/>
          <w:b w:val="0"/>
          <w:bCs w:val="0"/>
          <w:color w:val="000000" w:themeColor="text1"/>
          <w:spacing w:val="0"/>
          <w:kern w:val="0"/>
          <w:sz w:val="32"/>
          <w:szCs w:val="32"/>
        </w:rPr>
        <w:t>严肃查处超范围执业、非法行医、违规购销药品</w:t>
      </w:r>
      <w:r>
        <w:rPr>
          <w:rFonts w:ascii="Times New Roman" w:hAnsi="Times New Roman" w:eastAsia="仿宋"/>
          <w:b w:val="0"/>
          <w:bCs w:val="0"/>
          <w:color w:val="000000" w:themeColor="text1"/>
          <w:spacing w:val="0"/>
          <w:kern w:val="0"/>
          <w:sz w:val="32"/>
          <w:szCs w:val="32"/>
          <w:lang w:eastAsia="zh-CN"/>
        </w:rPr>
        <w:t>、</w:t>
      </w:r>
      <w:r>
        <w:rPr>
          <w:rFonts w:ascii="Times New Roman" w:hAnsi="Times New Roman" w:eastAsia="仿宋"/>
          <w:b w:val="0"/>
          <w:bCs w:val="0"/>
          <w:color w:val="000000" w:themeColor="text1"/>
          <w:spacing w:val="0"/>
          <w:kern w:val="0"/>
          <w:sz w:val="32"/>
          <w:szCs w:val="32"/>
          <w:lang w:val="en-US" w:eastAsia="zh-CN"/>
        </w:rPr>
        <w:t>套取医保资金</w:t>
      </w:r>
      <w:r>
        <w:rPr>
          <w:rFonts w:ascii="Times New Roman" w:hAnsi="Times New Roman" w:eastAsia="仿宋"/>
          <w:b w:val="0"/>
          <w:bCs w:val="0"/>
          <w:color w:val="000000" w:themeColor="text1"/>
          <w:spacing w:val="0"/>
          <w:kern w:val="0"/>
          <w:sz w:val="32"/>
          <w:szCs w:val="32"/>
        </w:rPr>
        <w:t>等行为。</w:t>
      </w:r>
      <w:r>
        <w:rPr>
          <w:rFonts w:ascii="楷体" w:hAnsi="楷体" w:eastAsia="楷体"/>
          <w:b w:val="0"/>
          <w:bCs w:val="0"/>
          <w:color w:val="000000" w:themeColor="text1"/>
          <w:spacing w:val="0"/>
          <w:sz w:val="32"/>
          <w:szCs w:val="32"/>
          <w:lang w:val="en-US" w:eastAsia="zh-CN"/>
        </w:rPr>
        <w:t>（责任单位：区卫健局、区市场监管局、区医保局）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w:t>
      </w:r>
      <w:r>
        <w:rPr>
          <w:rFonts w:hint="eastAsia" w:ascii="Times New Roman" w:hAnsi="Times New Roman" w:eastAsia="仿宋"/>
          <w:b w:val="0"/>
          <w:bCs w:val="0"/>
          <w:color w:val="000000" w:themeColor="text1"/>
          <w:spacing w:val="0"/>
          <w:sz w:val="32"/>
          <w:szCs w:val="32"/>
          <w:lang w:val="en-US" w:eastAsia="zh-CN"/>
        </w:rPr>
        <w:t>2</w:t>
      </w:r>
      <w:r>
        <w:rPr>
          <w:rFonts w:ascii="Times New Roman" w:hAnsi="Times New Roman" w:eastAsia="仿宋"/>
          <w:b w:val="0"/>
          <w:bCs w:val="0"/>
          <w:color w:val="000000" w:themeColor="text1"/>
          <w:spacing w:val="0"/>
          <w:sz w:val="32"/>
          <w:szCs w:val="32"/>
          <w:lang w:val="en-US" w:eastAsia="zh-CN"/>
        </w:rPr>
        <w:t>、推进科学性考评。</w:t>
      </w:r>
      <w:r>
        <w:rPr>
          <w:rFonts w:ascii="Times New Roman" w:hAnsi="Times New Roman" w:eastAsia="仿宋"/>
          <w:b w:val="0"/>
          <w:bCs w:val="0"/>
          <w:color w:val="000000" w:themeColor="text1"/>
          <w:spacing w:val="0"/>
          <w:sz w:val="32"/>
          <w:szCs w:val="32"/>
          <w:shd w:val="clear" w:color="auto" w:fill="FFFFFF"/>
        </w:rPr>
        <w:t>镇卫生院（社区卫生服务中心）</w:t>
      </w:r>
      <w:r>
        <w:rPr>
          <w:rFonts w:ascii="Times New Roman" w:hAnsi="Times New Roman" w:eastAsia="仿宋"/>
          <w:b w:val="0"/>
          <w:bCs w:val="0"/>
          <w:color w:val="000000" w:themeColor="text1"/>
          <w:spacing w:val="0"/>
          <w:sz w:val="32"/>
          <w:szCs w:val="32"/>
        </w:rPr>
        <w:t>要结合实际制定乡村医生绩效评价方案并组织实施，每季度对基本医疗、基本公共卫生服务、基本药物制度落实、群众满意度、学习培训、医德医风及上级安排的其他工作进行一次全面测评，结果在村（居）</w:t>
      </w:r>
      <w:r>
        <w:rPr>
          <w:rFonts w:hint="eastAsia" w:ascii="Times New Roman" w:hAnsi="Times New Roman" w:eastAsia="仿宋"/>
          <w:b w:val="0"/>
          <w:bCs w:val="0"/>
          <w:color w:val="000000" w:themeColor="text1"/>
          <w:spacing w:val="0"/>
          <w:sz w:val="32"/>
          <w:szCs w:val="32"/>
          <w:lang w:val="en-US" w:eastAsia="zh-CN"/>
        </w:rPr>
        <w:t>民委员会</w:t>
      </w:r>
      <w:r>
        <w:rPr>
          <w:rFonts w:ascii="Times New Roman" w:hAnsi="Times New Roman" w:eastAsia="仿宋"/>
          <w:b w:val="0"/>
          <w:bCs w:val="0"/>
          <w:color w:val="000000" w:themeColor="text1"/>
          <w:spacing w:val="0"/>
          <w:sz w:val="32"/>
          <w:szCs w:val="32"/>
        </w:rPr>
        <w:t>公示，并作为基本公共卫生服务经费、基本药物制度补助发放和乡村医生执业再注册的重要依据。</w:t>
      </w:r>
      <w:r>
        <w:rPr>
          <w:rFonts w:ascii="楷体" w:hAnsi="楷体" w:eastAsia="楷体"/>
          <w:b w:val="0"/>
          <w:bCs w:val="0"/>
          <w:color w:val="000000" w:themeColor="text1"/>
          <w:spacing w:val="0"/>
          <w:sz w:val="32"/>
          <w:szCs w:val="32"/>
          <w:lang w:val="en-US" w:eastAsia="zh-CN"/>
        </w:rPr>
        <w:t>（责任单位：区卫健局）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楷体" w:hAnsi="楷体" w:eastAsia="楷体"/>
          <w:b w:val="0"/>
          <w:bCs w:val="0"/>
          <w:color w:val="000000" w:themeColor="text1"/>
          <w:spacing w:val="0"/>
          <w:sz w:val="32"/>
          <w:szCs w:val="32"/>
          <w:lang w:val="en-US" w:eastAsia="zh-CN"/>
        </w:rPr>
      </w:pPr>
      <w:r>
        <w:rPr>
          <w:rFonts w:ascii="楷体" w:hAnsi="楷体" w:eastAsia="楷体"/>
          <w:b w:val="0"/>
          <w:bCs w:val="0"/>
          <w:color w:val="000000" w:themeColor="text1"/>
          <w:spacing w:val="0"/>
          <w:sz w:val="32"/>
          <w:szCs w:val="32"/>
          <w:lang w:val="en-US" w:eastAsia="zh-CN"/>
        </w:rPr>
        <w:t>（四）实施村卫生室保障机制推进行动</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w:t>
      </w:r>
      <w:r>
        <w:rPr>
          <w:rFonts w:hint="eastAsia" w:ascii="Times New Roman" w:hAnsi="Times New Roman" w:eastAsia="仿宋"/>
          <w:b w:val="0"/>
          <w:bCs w:val="0"/>
          <w:color w:val="000000" w:themeColor="text1"/>
          <w:spacing w:val="0"/>
          <w:sz w:val="32"/>
          <w:szCs w:val="32"/>
          <w:lang w:val="en-US" w:eastAsia="zh-CN"/>
        </w:rPr>
        <w:t>3</w:t>
      </w:r>
      <w:r>
        <w:rPr>
          <w:rFonts w:ascii="Times New Roman" w:hAnsi="Times New Roman" w:eastAsia="仿宋"/>
          <w:b w:val="0"/>
          <w:bCs w:val="0"/>
          <w:color w:val="000000" w:themeColor="text1"/>
          <w:spacing w:val="0"/>
          <w:sz w:val="32"/>
          <w:szCs w:val="32"/>
          <w:lang w:val="en-US" w:eastAsia="zh-CN"/>
        </w:rPr>
        <w:t>、健全完善经费保障机制。</w:t>
      </w:r>
      <w:r>
        <w:rPr>
          <w:rFonts w:ascii="Times New Roman" w:hAnsi="Times New Roman" w:eastAsia="仿宋"/>
          <w:b w:val="0"/>
          <w:bCs w:val="0"/>
          <w:color w:val="000000" w:themeColor="text1"/>
          <w:spacing w:val="0"/>
          <w:kern w:val="0"/>
          <w:sz w:val="32"/>
          <w:szCs w:val="32"/>
          <w:lang w:val="en-US" w:eastAsia="zh-CN"/>
        </w:rPr>
        <w:t>区、镇（街）</w:t>
      </w:r>
      <w:r>
        <w:rPr>
          <w:rFonts w:ascii="Times New Roman" w:hAnsi="Times New Roman" w:eastAsia="仿宋"/>
          <w:b w:val="0"/>
          <w:bCs w:val="0"/>
          <w:color w:val="000000" w:themeColor="text1"/>
          <w:spacing w:val="0"/>
          <w:kern w:val="0"/>
          <w:sz w:val="32"/>
          <w:szCs w:val="32"/>
        </w:rPr>
        <w:t>财政要持续加大对基层卫生健康工作的投入保障</w:t>
      </w:r>
      <w:r>
        <w:rPr>
          <w:rFonts w:ascii="Times New Roman" w:hAnsi="Times New Roman" w:eastAsia="仿宋"/>
          <w:b w:val="0"/>
          <w:bCs w:val="0"/>
          <w:color w:val="000000" w:themeColor="text1"/>
          <w:spacing w:val="0"/>
          <w:sz w:val="32"/>
          <w:szCs w:val="32"/>
        </w:rPr>
        <w:t>力度，</w:t>
      </w:r>
      <w:r>
        <w:rPr>
          <w:rFonts w:ascii="Times New Roman" w:hAnsi="Times New Roman" w:eastAsia="仿宋"/>
          <w:b w:val="0"/>
          <w:bCs w:val="0"/>
          <w:color w:val="000000" w:themeColor="text1"/>
          <w:spacing w:val="0"/>
          <w:kern w:val="0"/>
          <w:sz w:val="32"/>
          <w:szCs w:val="32"/>
        </w:rPr>
        <w:t>确保</w:t>
      </w:r>
      <w:r>
        <w:rPr>
          <w:rFonts w:hint="eastAsia" w:ascii="Times New Roman" w:hAnsi="Times New Roman" w:eastAsia="仿宋"/>
          <w:b w:val="0"/>
          <w:bCs w:val="0"/>
          <w:color w:val="000000" w:themeColor="text1"/>
          <w:spacing w:val="0"/>
          <w:kern w:val="0"/>
          <w:sz w:val="32"/>
          <w:szCs w:val="32"/>
          <w:lang w:val="en-US" w:eastAsia="zh-CN"/>
        </w:rPr>
        <w:t>村卫生室建设提升费用、</w:t>
      </w:r>
      <w:r>
        <w:rPr>
          <w:rFonts w:ascii="Times New Roman" w:hAnsi="Times New Roman" w:eastAsia="仿宋"/>
          <w:b w:val="0"/>
          <w:bCs w:val="0"/>
          <w:color w:val="000000" w:themeColor="text1"/>
          <w:spacing w:val="0"/>
          <w:kern w:val="0"/>
          <w:sz w:val="32"/>
          <w:szCs w:val="32"/>
        </w:rPr>
        <w:t>乡村医生岗位补贴、基本公共卫生服务经费、基本药物制度补助、村卫生室运行补助</w:t>
      </w:r>
      <w:r>
        <w:rPr>
          <w:rFonts w:ascii="Times New Roman" w:hAnsi="Times New Roman" w:eastAsia="仿宋"/>
          <w:b w:val="0"/>
          <w:bCs w:val="0"/>
          <w:color w:val="000000" w:themeColor="text1"/>
          <w:spacing w:val="0"/>
          <w:sz w:val="32"/>
          <w:szCs w:val="32"/>
        </w:rPr>
        <w:t>及时</w:t>
      </w:r>
      <w:r>
        <w:rPr>
          <w:rFonts w:ascii="Times New Roman" w:hAnsi="Times New Roman" w:eastAsia="仿宋"/>
          <w:b w:val="0"/>
          <w:bCs w:val="0"/>
          <w:color w:val="000000" w:themeColor="text1"/>
          <w:spacing w:val="0"/>
          <w:kern w:val="0"/>
          <w:sz w:val="32"/>
          <w:szCs w:val="32"/>
        </w:rPr>
        <w:t>足</w:t>
      </w:r>
      <w:r>
        <w:rPr>
          <w:rFonts w:ascii="Times New Roman" w:hAnsi="Times New Roman" w:eastAsia="仿宋"/>
          <w:b w:val="0"/>
          <w:bCs w:val="0"/>
          <w:color w:val="000000" w:themeColor="text1"/>
          <w:spacing w:val="0"/>
          <w:sz w:val="32"/>
          <w:szCs w:val="32"/>
        </w:rPr>
        <w:t>额拨付到位</w:t>
      </w:r>
      <w:r>
        <w:rPr>
          <w:rFonts w:hint="eastAsia" w:ascii="Times New Roman" w:hAnsi="Times New Roman" w:eastAsia="仿宋"/>
          <w:b w:val="0"/>
          <w:bCs w:val="0"/>
          <w:color w:val="000000" w:themeColor="text1"/>
          <w:spacing w:val="0"/>
          <w:sz w:val="32"/>
          <w:szCs w:val="32"/>
          <w:lang w:eastAsia="zh-CN"/>
        </w:rPr>
        <w:t>，</w:t>
      </w:r>
      <w:r>
        <w:rPr>
          <w:rFonts w:hint="eastAsia" w:ascii="Times New Roman" w:hAnsi="Times New Roman" w:eastAsia="仿宋"/>
          <w:b w:val="0"/>
          <w:bCs w:val="0"/>
          <w:color w:val="000000" w:themeColor="text1"/>
          <w:spacing w:val="0"/>
          <w:sz w:val="32"/>
          <w:szCs w:val="32"/>
          <w:lang w:val="en-US" w:eastAsia="zh-CN"/>
        </w:rPr>
        <w:t>加强对各类经费落实情况的监督检查</w:t>
      </w:r>
      <w:r>
        <w:rPr>
          <w:rFonts w:ascii="Times New Roman" w:hAnsi="Times New Roman" w:eastAsia="仿宋"/>
          <w:b w:val="0"/>
          <w:bCs w:val="0"/>
          <w:color w:val="000000" w:themeColor="text1"/>
          <w:spacing w:val="0"/>
          <w:kern w:val="0"/>
          <w:sz w:val="32"/>
          <w:szCs w:val="32"/>
        </w:rPr>
        <w:t>。根据执业资格、能力水平等，分类确定待遇水平，动态调整补助标准，逐步提高乡村医生待遇。</w:t>
      </w:r>
      <w:r>
        <w:rPr>
          <w:rFonts w:ascii="楷体" w:hAnsi="楷体" w:eastAsia="楷体"/>
          <w:b w:val="0"/>
          <w:bCs w:val="0"/>
          <w:color w:val="000000" w:themeColor="text1"/>
          <w:spacing w:val="0"/>
          <w:sz w:val="32"/>
          <w:szCs w:val="32"/>
          <w:lang w:val="en-US" w:eastAsia="zh-CN"/>
        </w:rPr>
        <w:t>（责任单位：区卫健局、区财政局）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w:t>
      </w:r>
      <w:r>
        <w:rPr>
          <w:rFonts w:hint="eastAsia" w:ascii="Times New Roman" w:hAnsi="Times New Roman" w:eastAsia="仿宋"/>
          <w:b w:val="0"/>
          <w:bCs w:val="0"/>
          <w:color w:val="000000" w:themeColor="text1"/>
          <w:spacing w:val="0"/>
          <w:sz w:val="32"/>
          <w:szCs w:val="32"/>
          <w:lang w:val="en-US" w:eastAsia="zh-CN"/>
        </w:rPr>
        <w:t>4</w:t>
      </w:r>
      <w:r>
        <w:rPr>
          <w:rFonts w:ascii="Times New Roman" w:hAnsi="Times New Roman" w:eastAsia="仿宋"/>
          <w:b w:val="0"/>
          <w:bCs w:val="0"/>
          <w:color w:val="000000" w:themeColor="text1"/>
          <w:spacing w:val="0"/>
          <w:sz w:val="32"/>
          <w:szCs w:val="32"/>
          <w:lang w:val="en-US" w:eastAsia="zh-CN"/>
        </w:rPr>
        <w:t>、健全完善职业保障机制。</w:t>
      </w:r>
      <w:r>
        <w:rPr>
          <w:rFonts w:ascii="Times New Roman" w:hAnsi="Times New Roman" w:eastAsia="仿宋"/>
          <w:b w:val="0"/>
          <w:bCs w:val="0"/>
          <w:color w:val="000000" w:themeColor="text1"/>
          <w:spacing w:val="0"/>
          <w:sz w:val="32"/>
          <w:szCs w:val="32"/>
        </w:rPr>
        <w:t>关爱乡村医疗卫生人员，营造良好职业发展环境。</w:t>
      </w:r>
      <w:r>
        <w:rPr>
          <w:rFonts w:ascii="Times New Roman" w:hAnsi="Times New Roman" w:eastAsia="仿宋"/>
          <w:b w:val="0"/>
          <w:bCs w:val="0"/>
          <w:color w:val="000000" w:themeColor="text1"/>
          <w:spacing w:val="0"/>
          <w:kern w:val="0"/>
          <w:sz w:val="32"/>
          <w:szCs w:val="32"/>
        </w:rPr>
        <w:t>已取得执业（助理）医师资格、与镇卫生院（社区卫生服务中心）签订劳动合同的乡村医生，应按照有关规定参加企业职工基本养老保险、职工基本医疗保险等社会保险。其他乡村医</w:t>
      </w:r>
      <w:r>
        <w:rPr>
          <w:rFonts w:ascii="Times New Roman" w:hAnsi="Times New Roman" w:eastAsia="仿宋"/>
          <w:b w:val="0"/>
          <w:bCs w:val="0"/>
          <w:color w:val="000000" w:themeColor="text1"/>
          <w:spacing w:val="0"/>
          <w:sz w:val="32"/>
          <w:szCs w:val="32"/>
        </w:rPr>
        <w:t>生，可按照有关规定参加企业职工基本养老保险或城乡居民基本养老保险。对年满60周岁的乡村医生，结合实际</w:t>
      </w:r>
      <w:r>
        <w:rPr>
          <w:rFonts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采取补助等多种形式逐步提高其养老待遇。</w:t>
      </w:r>
      <w:r>
        <w:rPr>
          <w:rFonts w:ascii="楷体" w:hAnsi="楷体" w:eastAsia="楷体"/>
          <w:b w:val="0"/>
          <w:bCs w:val="0"/>
          <w:color w:val="000000" w:themeColor="text1"/>
          <w:spacing w:val="0"/>
          <w:sz w:val="32"/>
          <w:szCs w:val="32"/>
          <w:lang w:val="en-US" w:eastAsia="zh-CN"/>
        </w:rPr>
        <w:t>（责任单位：区卫健局、区人社局、区财政局、区医保局）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lang w:val="en-US" w:eastAsia="zh-CN"/>
        </w:rPr>
        <w:t>1</w:t>
      </w:r>
      <w:r>
        <w:rPr>
          <w:rFonts w:hint="eastAsia" w:ascii="Times New Roman" w:hAnsi="Times New Roman" w:eastAsia="仿宋"/>
          <w:b w:val="0"/>
          <w:bCs w:val="0"/>
          <w:color w:val="000000" w:themeColor="text1"/>
          <w:spacing w:val="0"/>
          <w:sz w:val="32"/>
          <w:szCs w:val="32"/>
          <w:lang w:val="en-US" w:eastAsia="zh-CN"/>
        </w:rPr>
        <w:t>5</w:t>
      </w:r>
      <w:r>
        <w:rPr>
          <w:rFonts w:ascii="Times New Roman" w:hAnsi="Times New Roman" w:eastAsia="仿宋"/>
          <w:b w:val="0"/>
          <w:bCs w:val="0"/>
          <w:color w:val="000000" w:themeColor="text1"/>
          <w:spacing w:val="0"/>
          <w:sz w:val="32"/>
          <w:szCs w:val="32"/>
          <w:lang w:val="en-US" w:eastAsia="zh-CN"/>
        </w:rPr>
        <w:t>、健全完善政策保障机制。</w:t>
      </w:r>
      <w:r>
        <w:rPr>
          <w:rFonts w:ascii="Times New Roman" w:hAnsi="Times New Roman" w:eastAsia="仿宋"/>
          <w:b w:val="0"/>
          <w:bCs w:val="0"/>
          <w:color w:val="000000" w:themeColor="text1"/>
          <w:spacing w:val="0"/>
          <w:sz w:val="32"/>
          <w:szCs w:val="32"/>
        </w:rPr>
        <w:t>加强定点医疗机构协议管理，及时将符合条件的村卫生室纳入医保定点，由其所属镇卫生院（社区卫生服务中心）按规定进行管理。</w:t>
      </w:r>
      <w:r>
        <w:rPr>
          <w:rFonts w:ascii="Times New Roman" w:hAnsi="Times New Roman" w:eastAsia="仿宋"/>
          <w:b w:val="0"/>
          <w:bCs w:val="0"/>
          <w:color w:val="000000" w:themeColor="text1"/>
          <w:spacing w:val="0"/>
          <w:sz w:val="32"/>
          <w:szCs w:val="32"/>
          <w:lang w:val="en-US" w:eastAsia="zh-CN"/>
        </w:rPr>
        <w:t>建立乡村医生准入退出机制，完善乡村医生聘任、考核、准入、退出、离岗、养老等制度，加强准入管理、畅通退出渠道、储备后备力量，稳定和优化乡村医生队伍。</w:t>
      </w:r>
      <w:r>
        <w:rPr>
          <w:rFonts w:hint="eastAsia" w:ascii="Times New Roman" w:hAnsi="Times New Roman" w:eastAsia="仿宋"/>
          <w:b w:val="0"/>
          <w:bCs w:val="0"/>
          <w:color w:val="000000" w:themeColor="text1"/>
          <w:spacing w:val="0"/>
          <w:sz w:val="32"/>
          <w:szCs w:val="32"/>
          <w:lang w:val="en-US" w:eastAsia="zh-CN"/>
        </w:rPr>
        <w:t>健全</w:t>
      </w:r>
      <w:r>
        <w:rPr>
          <w:rFonts w:ascii="Times New Roman" w:hAnsi="Times New Roman" w:eastAsia="仿宋"/>
          <w:b w:val="0"/>
          <w:bCs w:val="0"/>
          <w:color w:val="000000" w:themeColor="text1"/>
          <w:spacing w:val="0"/>
          <w:kern w:val="0"/>
          <w:sz w:val="32"/>
          <w:szCs w:val="32"/>
        </w:rPr>
        <w:t>医疗风险分担机制，鼓励</w:t>
      </w:r>
      <w:r>
        <w:rPr>
          <w:rFonts w:hint="eastAsia" w:ascii="Times New Roman" w:hAnsi="Times New Roman" w:eastAsia="仿宋"/>
          <w:b w:val="0"/>
          <w:bCs w:val="0"/>
          <w:color w:val="000000" w:themeColor="text1"/>
          <w:spacing w:val="0"/>
          <w:kern w:val="0"/>
          <w:sz w:val="32"/>
          <w:szCs w:val="32"/>
          <w:lang w:val="en-US" w:eastAsia="zh-CN"/>
        </w:rPr>
        <w:t>采取</w:t>
      </w:r>
      <w:r>
        <w:rPr>
          <w:rFonts w:ascii="Times New Roman" w:hAnsi="Times New Roman" w:eastAsia="仿宋"/>
          <w:b w:val="0"/>
          <w:bCs w:val="0"/>
          <w:color w:val="000000" w:themeColor="text1"/>
          <w:spacing w:val="0"/>
          <w:kern w:val="0"/>
          <w:sz w:val="32"/>
          <w:szCs w:val="32"/>
        </w:rPr>
        <w:t>县域内村卫生室整体参加医疗责任保险</w:t>
      </w:r>
      <w:r>
        <w:rPr>
          <w:rFonts w:hint="eastAsia" w:ascii="Times New Roman" w:hAnsi="Times New Roman" w:eastAsia="仿宋"/>
          <w:b w:val="0"/>
          <w:bCs w:val="0"/>
          <w:color w:val="000000" w:themeColor="text1"/>
          <w:spacing w:val="0"/>
          <w:kern w:val="0"/>
          <w:sz w:val="32"/>
          <w:szCs w:val="32"/>
          <w:lang w:val="en-US" w:eastAsia="zh-CN"/>
        </w:rPr>
        <w:t>等方式</w:t>
      </w:r>
      <w:r>
        <w:rPr>
          <w:rFonts w:hint="eastAsia" w:ascii="Times New Roman" w:hAnsi="Times New Roman" w:eastAsia="仿宋"/>
          <w:b w:val="0"/>
          <w:bCs w:val="0"/>
          <w:color w:val="000000" w:themeColor="text1"/>
          <w:spacing w:val="0"/>
          <w:kern w:val="0"/>
          <w:sz w:val="32"/>
          <w:szCs w:val="32"/>
          <w:lang w:eastAsia="zh-CN"/>
        </w:rPr>
        <w:t>，</w:t>
      </w:r>
      <w:r>
        <w:rPr>
          <w:rFonts w:hint="eastAsia" w:ascii="Times New Roman" w:hAnsi="Times New Roman" w:eastAsia="仿宋"/>
          <w:b w:val="0"/>
          <w:bCs w:val="0"/>
          <w:color w:val="000000" w:themeColor="text1"/>
          <w:spacing w:val="0"/>
          <w:kern w:val="0"/>
          <w:sz w:val="32"/>
          <w:szCs w:val="32"/>
          <w:lang w:val="en-US" w:eastAsia="zh-CN"/>
        </w:rPr>
        <w:t>减轻医疗风险负担</w:t>
      </w:r>
      <w:r>
        <w:rPr>
          <w:rFonts w:ascii="Times New Roman" w:hAnsi="Times New Roman" w:eastAsia="仿宋"/>
          <w:b w:val="0"/>
          <w:bCs w:val="0"/>
          <w:color w:val="000000" w:themeColor="text1"/>
          <w:spacing w:val="0"/>
          <w:sz w:val="32"/>
          <w:szCs w:val="32"/>
        </w:rPr>
        <w:t>。</w:t>
      </w:r>
      <w:r>
        <w:rPr>
          <w:rFonts w:ascii="楷体" w:hAnsi="楷体" w:eastAsia="楷体"/>
          <w:b w:val="0"/>
          <w:bCs w:val="0"/>
          <w:color w:val="000000" w:themeColor="text1"/>
          <w:spacing w:val="0"/>
          <w:sz w:val="32"/>
          <w:szCs w:val="32"/>
          <w:lang w:val="en-US" w:eastAsia="zh-CN"/>
        </w:rPr>
        <w:t>（责任单位：区卫健局、</w:t>
      </w:r>
      <w:r>
        <w:rPr>
          <w:rFonts w:hint="eastAsia" w:ascii="楷体" w:hAnsi="楷体" w:eastAsia="楷体"/>
          <w:b w:val="0"/>
          <w:bCs w:val="0"/>
          <w:color w:val="000000" w:themeColor="text1"/>
          <w:spacing w:val="0"/>
          <w:sz w:val="32"/>
          <w:szCs w:val="32"/>
          <w:lang w:val="en-US" w:eastAsia="zh-CN"/>
        </w:rPr>
        <w:t>区财政局、区人社局、</w:t>
      </w:r>
      <w:r>
        <w:rPr>
          <w:rFonts w:ascii="楷体" w:hAnsi="楷体" w:eastAsia="楷体"/>
          <w:b w:val="0"/>
          <w:bCs w:val="0"/>
          <w:color w:val="000000" w:themeColor="text1"/>
          <w:spacing w:val="0"/>
          <w:sz w:val="32"/>
          <w:szCs w:val="32"/>
          <w:lang w:val="en-US" w:eastAsia="zh-CN"/>
        </w:rPr>
        <w:t>区医保局）</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黑体" w:hAnsi="黑体" w:eastAsia="黑体"/>
          <w:b w:val="0"/>
          <w:bCs w:val="0"/>
          <w:color w:val="000000" w:themeColor="text1"/>
          <w:spacing w:val="0"/>
          <w:sz w:val="32"/>
          <w:szCs w:val="32"/>
        </w:rPr>
      </w:pPr>
      <w:r>
        <w:rPr>
          <w:rFonts w:hint="eastAsia" w:ascii="黑体" w:hAnsi="黑体" w:eastAsia="黑体"/>
          <w:b w:val="0"/>
          <w:bCs w:val="0"/>
          <w:color w:val="000000" w:themeColor="text1"/>
          <w:spacing w:val="0"/>
          <w:sz w:val="32"/>
          <w:szCs w:val="32"/>
        </w:rPr>
        <w:t>三、</w:t>
      </w:r>
      <w:r>
        <w:rPr>
          <w:rFonts w:hint="eastAsia" w:ascii="黑体" w:hAnsi="黑体" w:eastAsia="黑体"/>
          <w:b w:val="0"/>
          <w:bCs w:val="0"/>
          <w:color w:val="000000" w:themeColor="text1"/>
          <w:spacing w:val="0"/>
          <w:sz w:val="32"/>
          <w:szCs w:val="32"/>
          <w:lang w:val="en-US" w:eastAsia="zh-CN"/>
        </w:rPr>
        <w:t>保障措施</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楷体" w:hAnsi="楷体" w:eastAsia="楷体"/>
          <w:b w:val="0"/>
          <w:bCs w:val="0"/>
          <w:color w:val="000000" w:themeColor="text1"/>
          <w:spacing w:val="0"/>
          <w:sz w:val="32"/>
          <w:szCs w:val="32"/>
          <w:lang w:val="en-US" w:eastAsia="zh-CN"/>
        </w:rPr>
      </w:pPr>
      <w:r>
        <w:rPr>
          <w:rFonts w:hint="eastAsia" w:ascii="楷体" w:hAnsi="楷体" w:eastAsia="楷体"/>
          <w:b w:val="0"/>
          <w:bCs w:val="0"/>
          <w:color w:val="000000" w:themeColor="text1"/>
          <w:spacing w:val="0"/>
          <w:sz w:val="32"/>
          <w:szCs w:val="32"/>
          <w:lang w:val="en-US" w:eastAsia="zh-CN"/>
        </w:rPr>
        <w:t>（一）加强统筹协调。</w:t>
      </w:r>
      <w:r>
        <w:rPr>
          <w:rFonts w:hint="eastAsia" w:ascii="Times New Roman" w:hAnsi="Times New Roman" w:eastAsia="仿宋"/>
          <w:b w:val="0"/>
          <w:bCs w:val="0"/>
          <w:color w:val="000000" w:themeColor="text1"/>
          <w:spacing w:val="0"/>
          <w:sz w:val="32"/>
          <w:szCs w:val="32"/>
          <w:lang w:val="en-US" w:eastAsia="zh-CN"/>
        </w:rPr>
        <w:t>为</w:t>
      </w:r>
      <w:r>
        <w:rPr>
          <w:rFonts w:ascii="Times New Roman" w:hAnsi="Times New Roman" w:eastAsia="仿宋"/>
          <w:b w:val="0"/>
          <w:bCs w:val="0"/>
          <w:color w:val="000000" w:themeColor="text1"/>
          <w:spacing w:val="0"/>
          <w:sz w:val="32"/>
          <w:szCs w:val="32"/>
        </w:rPr>
        <w:t>确保“三年提升行动”任务目标如期实现</w:t>
      </w:r>
      <w:r>
        <w:rPr>
          <w:rFonts w:hint="eastAsia"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把好事办好、实事办实，办成群众可感可及的暖心工程</w:t>
      </w:r>
      <w:r>
        <w:rPr>
          <w:rFonts w:hint="eastAsia" w:ascii="Times New Roman" w:hAnsi="Times New Roman" w:eastAsia="仿宋"/>
          <w:b w:val="0"/>
          <w:bCs w:val="0"/>
          <w:color w:val="000000" w:themeColor="text1"/>
          <w:spacing w:val="0"/>
          <w:sz w:val="32"/>
          <w:szCs w:val="32"/>
          <w:lang w:eastAsia="zh-CN"/>
        </w:rPr>
        <w:t>，</w:t>
      </w:r>
      <w:r>
        <w:rPr>
          <w:rFonts w:hint="eastAsia" w:ascii="Times New Roman" w:hAnsi="Times New Roman" w:eastAsia="仿宋"/>
          <w:b w:val="0"/>
          <w:bCs w:val="0"/>
          <w:color w:val="000000" w:themeColor="text1"/>
          <w:spacing w:val="0"/>
          <w:sz w:val="32"/>
          <w:szCs w:val="32"/>
          <w:lang w:val="en-US" w:eastAsia="zh-CN"/>
        </w:rPr>
        <w:t>设立由区委副书记李军同志任指挥长，区委常委、常务副区长庞建广同志、区政府副区长周海燕同志任副指挥长，有关部门负责人为成员的村卫生室</w:t>
      </w:r>
      <w:r>
        <w:rPr>
          <w:rFonts w:ascii="Times New Roman" w:hAnsi="Times New Roman" w:eastAsia="仿宋"/>
          <w:b w:val="0"/>
          <w:bCs w:val="0"/>
          <w:color w:val="000000" w:themeColor="text1"/>
          <w:spacing w:val="0"/>
          <w:sz w:val="32"/>
          <w:szCs w:val="32"/>
        </w:rPr>
        <w:t>三年提升行动</w:t>
      </w:r>
      <w:r>
        <w:rPr>
          <w:rFonts w:hint="eastAsia" w:ascii="Times New Roman" w:hAnsi="Times New Roman" w:eastAsia="仿宋"/>
          <w:b w:val="0"/>
          <w:color w:val="000000" w:themeColor="text1"/>
          <w:spacing w:val="0"/>
          <w:sz w:val="32"/>
          <w:lang w:val="en-US" w:eastAsia="zh-CN"/>
        </w:rPr>
        <w:t>指挥部，定期调度督导工作推进情况，协调解</w:t>
      </w:r>
      <w:r>
        <w:rPr>
          <w:rFonts w:hint="default" w:ascii="Times New Roman" w:hAnsi="Times New Roman" w:eastAsia="仿宋" w:cs="Times New Roman"/>
          <w:b w:val="0"/>
          <w:color w:val="000000" w:themeColor="text1"/>
          <w:spacing w:val="0"/>
          <w:sz w:val="32"/>
          <w:lang w:val="en-US" w:eastAsia="zh-CN"/>
        </w:rPr>
        <w:t>决工作中遇到的困难和问题。要</w:t>
      </w:r>
      <w:r>
        <w:rPr>
          <w:rFonts w:hint="default" w:ascii="Times New Roman" w:hAnsi="Times New Roman" w:eastAsia="仿宋" w:cs="Times New Roman"/>
          <w:b w:val="0"/>
          <w:color w:val="000000" w:themeColor="text1"/>
          <w:spacing w:val="0"/>
          <w:sz w:val="32"/>
          <w:u w:val="none"/>
          <w:lang w:val="en-US" w:eastAsia="zh-CN"/>
        </w:rPr>
        <w:t>坚持区、镇（街）、村三级联动，按照“统一规划布局、统一建设标准、统一策划设计、统一设备配置”的“四统一”原则，高标准推进村卫生室建设，全区村卫生室达到“规划合理、整齐划一、特色鲜明、功能齐备”的目标</w:t>
      </w:r>
      <w:r>
        <w:rPr>
          <w:rFonts w:hint="default" w:ascii="Times New Roman" w:hAnsi="Times New Roman" w:eastAsia="仿宋" w:cs="Times New Roman"/>
          <w:b w:val="0"/>
          <w:bCs w:val="0"/>
          <w:color w:val="000000" w:themeColor="text1"/>
          <w:spacing w:val="0"/>
          <w:sz w:val="32"/>
          <w:szCs w:val="32"/>
          <w:lang w:val="en-US" w:eastAsia="zh-CN"/>
        </w:rPr>
        <w:t>。</w:t>
      </w:r>
      <w:r>
        <w:rPr>
          <w:rFonts w:hint="default" w:ascii="Times New Roman" w:hAnsi="Times New Roman" w:eastAsia="仿宋" w:cs="Times New Roman"/>
          <w:b w:val="0"/>
          <w:color w:val="000000" w:themeColor="text1"/>
          <w:spacing w:val="0"/>
          <w:sz w:val="32"/>
          <w:u w:val="none"/>
        </w:rPr>
        <w:t>各级各</w:t>
      </w:r>
      <w:r>
        <w:rPr>
          <w:rFonts w:hint="default" w:ascii="Times New Roman" w:hAnsi="Times New Roman" w:eastAsia="仿宋" w:cs="Times New Roman"/>
          <w:b w:val="0"/>
          <w:bCs w:val="0"/>
          <w:color w:val="000000" w:themeColor="text1"/>
          <w:spacing w:val="0"/>
          <w:sz w:val="32"/>
          <w:szCs w:val="32"/>
        </w:rPr>
        <w:t>部门</w:t>
      </w:r>
      <w:r>
        <w:rPr>
          <w:rFonts w:hint="default" w:ascii="Times New Roman" w:hAnsi="Times New Roman" w:eastAsia="仿宋" w:cs="Times New Roman"/>
          <w:b w:val="0"/>
          <w:bCs w:val="0"/>
          <w:color w:val="000000" w:themeColor="text1"/>
          <w:spacing w:val="0"/>
          <w:sz w:val="32"/>
          <w:szCs w:val="32"/>
          <w:lang w:val="en-US" w:eastAsia="zh-CN"/>
        </w:rPr>
        <w:t>要建立协同调研、协调推进、协商解决机制，</w:t>
      </w:r>
      <w:r>
        <w:rPr>
          <w:rFonts w:hint="default" w:ascii="Times New Roman" w:hAnsi="Times New Roman" w:eastAsia="仿宋" w:cs="Times New Roman"/>
          <w:b w:val="0"/>
          <w:bCs w:val="0"/>
          <w:color w:val="000000" w:themeColor="text1"/>
          <w:spacing w:val="0"/>
          <w:sz w:val="32"/>
          <w:szCs w:val="32"/>
        </w:rPr>
        <w:t>严格落实职责分工，</w:t>
      </w:r>
      <w:r>
        <w:rPr>
          <w:rFonts w:hint="default" w:ascii="Times New Roman" w:hAnsi="Times New Roman" w:eastAsia="仿宋" w:cs="Times New Roman"/>
          <w:b w:val="0"/>
          <w:bCs w:val="0"/>
          <w:color w:val="000000" w:themeColor="text1"/>
          <w:spacing w:val="0"/>
          <w:sz w:val="32"/>
          <w:szCs w:val="32"/>
          <w:lang w:val="en-US" w:eastAsia="zh-CN"/>
        </w:rPr>
        <w:t>各司其职，</w:t>
      </w:r>
      <w:r>
        <w:rPr>
          <w:rFonts w:hint="default" w:ascii="Times New Roman" w:hAnsi="Times New Roman" w:eastAsia="仿宋" w:cs="Times New Roman"/>
          <w:b w:val="0"/>
          <w:bCs w:val="0"/>
          <w:color w:val="000000" w:themeColor="text1"/>
          <w:spacing w:val="0"/>
          <w:sz w:val="32"/>
          <w:szCs w:val="32"/>
        </w:rPr>
        <w:t>密切</w:t>
      </w:r>
      <w:r>
        <w:rPr>
          <w:rFonts w:ascii="Times New Roman" w:hAnsi="Times New Roman" w:eastAsia="仿宋"/>
          <w:b w:val="0"/>
          <w:bCs w:val="0"/>
          <w:color w:val="000000" w:themeColor="text1"/>
          <w:spacing w:val="0"/>
          <w:sz w:val="32"/>
          <w:szCs w:val="32"/>
        </w:rPr>
        <w:t>配合</w:t>
      </w:r>
      <w:r>
        <w:rPr>
          <w:rFonts w:hint="eastAsia" w:ascii="Times New Roman" w:hAnsi="Times New Roman" w:eastAsia="仿宋"/>
          <w:b w:val="0"/>
          <w:bCs w:val="0"/>
          <w:color w:val="000000" w:themeColor="text1"/>
          <w:spacing w:val="0"/>
          <w:sz w:val="32"/>
          <w:szCs w:val="32"/>
          <w:lang w:eastAsia="zh-CN"/>
        </w:rPr>
        <w:t>，</w:t>
      </w:r>
      <w:r>
        <w:rPr>
          <w:rFonts w:hint="eastAsia" w:ascii="Times New Roman" w:hAnsi="Times New Roman" w:eastAsia="仿宋"/>
          <w:b w:val="0"/>
          <w:bCs w:val="0"/>
          <w:color w:val="000000" w:themeColor="text1"/>
          <w:spacing w:val="0"/>
          <w:sz w:val="32"/>
          <w:szCs w:val="32"/>
          <w:lang w:val="en-US" w:eastAsia="zh-CN"/>
        </w:rPr>
        <w:t>形成同步发力、齐抓共管的工作格局</w:t>
      </w:r>
      <w:r>
        <w:rPr>
          <w:rFonts w:hint="eastAsia" w:ascii="Times New Roman" w:hAnsi="Times New Roman" w:eastAsia="仿宋"/>
          <w:b w:val="0"/>
          <w:color w:val="000000" w:themeColor="text1"/>
          <w:spacing w:val="0"/>
          <w:sz w:val="32"/>
          <w:lang w:eastAsia="zh-CN"/>
        </w:rPr>
        <w:t>，</w:t>
      </w:r>
      <w:r>
        <w:rPr>
          <w:rFonts w:hint="eastAsia" w:ascii="Times New Roman" w:hAnsi="Times New Roman" w:eastAsia="仿宋"/>
          <w:b w:val="0"/>
          <w:color w:val="000000" w:themeColor="text1"/>
          <w:spacing w:val="0"/>
          <w:sz w:val="32"/>
          <w:u w:val="none"/>
          <w:lang w:eastAsia="zh-CN"/>
        </w:rPr>
        <w:t>推动工作任务落地落实</w:t>
      </w:r>
      <w:r>
        <w:rPr>
          <w:rFonts w:hint="eastAsia" w:ascii="Times New Roman" w:hAnsi="Times New Roman" w:eastAsia="仿宋"/>
          <w:b w:val="0"/>
          <w:bCs w:val="0"/>
          <w:color w:val="000000" w:themeColor="text1"/>
          <w:spacing w:val="0"/>
          <w:sz w:val="32"/>
          <w:szCs w:val="32"/>
          <w:lang w:eastAsia="zh-CN"/>
        </w:rPr>
        <w:t>。</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楷体" w:hAnsi="楷体" w:eastAsia="楷体"/>
          <w:b w:val="0"/>
          <w:bCs w:val="0"/>
          <w:color w:val="000000" w:themeColor="text1"/>
          <w:spacing w:val="0"/>
          <w:sz w:val="32"/>
          <w:szCs w:val="32"/>
          <w:lang w:val="en-US" w:eastAsia="zh-CN"/>
        </w:rPr>
      </w:pPr>
      <w:r>
        <w:rPr>
          <w:rFonts w:hint="eastAsia" w:ascii="楷体" w:hAnsi="楷体" w:eastAsia="楷体"/>
          <w:b w:val="0"/>
          <w:bCs w:val="0"/>
          <w:color w:val="000000" w:themeColor="text1"/>
          <w:spacing w:val="0"/>
          <w:sz w:val="32"/>
          <w:szCs w:val="32"/>
          <w:lang w:val="en-US" w:eastAsia="zh-CN"/>
        </w:rPr>
        <w:t>（二）加强资源整合。</w:t>
      </w:r>
      <w:r>
        <w:rPr>
          <w:rFonts w:ascii="Times New Roman" w:hAnsi="Times New Roman" w:eastAsia="仿宋"/>
          <w:b w:val="0"/>
          <w:bCs w:val="0"/>
          <w:color w:val="000000" w:themeColor="text1"/>
          <w:spacing w:val="0"/>
          <w:sz w:val="32"/>
          <w:szCs w:val="32"/>
        </w:rPr>
        <w:t>鼓励红十字会、残联等群团及社会组织参与村卫生室建设，推动村卫生室与博爱卫生站、如康家园等融合发展。将村卫生室建设纳入省、市、区派“第一书记”帮扶范围，根据所在村实际情况</w:t>
      </w:r>
      <w:r>
        <w:rPr>
          <w:rFonts w:hint="eastAsia"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对村卫生室房屋建设、设备设施配备等工作给予重点帮扶。将村卫生室建设与“百企联百村”、社会捐赠等对村帮扶政策有机结合，引导更多资源汇聚形成合力。</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楷体" w:hAnsi="楷体" w:eastAsia="楷体"/>
          <w:b w:val="0"/>
          <w:bCs w:val="0"/>
          <w:color w:val="000000" w:themeColor="text1"/>
          <w:spacing w:val="0"/>
          <w:sz w:val="32"/>
          <w:szCs w:val="32"/>
          <w:lang w:val="en-US" w:eastAsia="zh-CN"/>
        </w:rPr>
      </w:pPr>
      <w:r>
        <w:rPr>
          <w:rFonts w:hint="eastAsia" w:ascii="楷体" w:hAnsi="楷体" w:eastAsia="楷体"/>
          <w:b w:val="0"/>
          <w:bCs w:val="0"/>
          <w:color w:val="000000" w:themeColor="text1"/>
          <w:spacing w:val="0"/>
          <w:sz w:val="32"/>
          <w:szCs w:val="32"/>
          <w:lang w:val="en-US" w:eastAsia="zh-CN"/>
        </w:rPr>
        <w:t>（三）加强督导考核。</w:t>
      </w:r>
      <w:r>
        <w:rPr>
          <w:rFonts w:ascii="Times New Roman" w:hAnsi="Times New Roman" w:eastAsia="仿宋"/>
          <w:b w:val="0"/>
          <w:bCs w:val="0"/>
          <w:color w:val="000000" w:themeColor="text1"/>
          <w:spacing w:val="0"/>
          <w:sz w:val="32"/>
          <w:szCs w:val="32"/>
        </w:rPr>
        <w:t>将三年提升行动纳入</w:t>
      </w:r>
      <w:r>
        <w:rPr>
          <w:rFonts w:ascii="Times New Roman" w:hAnsi="Times New Roman" w:eastAsia="仿宋"/>
          <w:b w:val="0"/>
          <w:bCs w:val="0"/>
          <w:color w:val="000000" w:themeColor="text1"/>
          <w:spacing w:val="0"/>
          <w:sz w:val="32"/>
          <w:szCs w:val="32"/>
          <w:lang w:val="en-US" w:eastAsia="zh-CN"/>
        </w:rPr>
        <w:t>区</w:t>
      </w:r>
      <w:r>
        <w:rPr>
          <w:rFonts w:ascii="Times New Roman" w:hAnsi="Times New Roman" w:eastAsia="仿宋"/>
          <w:b w:val="0"/>
          <w:bCs w:val="0"/>
          <w:color w:val="000000" w:themeColor="text1"/>
          <w:spacing w:val="0"/>
          <w:sz w:val="32"/>
          <w:szCs w:val="32"/>
        </w:rPr>
        <w:t>对</w:t>
      </w:r>
      <w:r>
        <w:rPr>
          <w:rFonts w:ascii="Times New Roman" w:hAnsi="Times New Roman" w:eastAsia="仿宋"/>
          <w:b w:val="0"/>
          <w:bCs w:val="0"/>
          <w:color w:val="000000" w:themeColor="text1"/>
          <w:spacing w:val="0"/>
          <w:sz w:val="32"/>
          <w:szCs w:val="32"/>
          <w:lang w:val="en-US" w:eastAsia="zh-CN"/>
        </w:rPr>
        <w:t>镇（街）</w:t>
      </w:r>
      <w:r>
        <w:rPr>
          <w:rFonts w:ascii="Times New Roman" w:hAnsi="Times New Roman" w:eastAsia="仿宋"/>
          <w:b w:val="0"/>
          <w:bCs w:val="0"/>
          <w:color w:val="000000" w:themeColor="text1"/>
          <w:spacing w:val="0"/>
          <w:sz w:val="32"/>
          <w:szCs w:val="32"/>
        </w:rPr>
        <w:t>高质量发展综合绩效考核。</w:t>
      </w:r>
      <w:r>
        <w:rPr>
          <w:rFonts w:ascii="Times New Roman" w:hAnsi="Times New Roman" w:eastAsia="仿宋"/>
          <w:b w:val="0"/>
          <w:bCs w:val="0"/>
          <w:color w:val="000000" w:themeColor="text1"/>
          <w:spacing w:val="0"/>
          <w:sz w:val="32"/>
          <w:szCs w:val="32"/>
          <w:lang w:val="en-US" w:eastAsia="zh-CN"/>
        </w:rPr>
        <w:t>区</w:t>
      </w:r>
      <w:r>
        <w:rPr>
          <w:rFonts w:ascii="Times New Roman" w:hAnsi="Times New Roman" w:eastAsia="仿宋"/>
          <w:b w:val="0"/>
          <w:bCs w:val="0"/>
          <w:color w:val="000000" w:themeColor="text1"/>
          <w:spacing w:val="0"/>
          <w:sz w:val="32"/>
          <w:szCs w:val="32"/>
        </w:rPr>
        <w:t>政府督查室</w:t>
      </w:r>
      <w:r>
        <w:rPr>
          <w:rFonts w:hint="eastAsia" w:ascii="Times New Roman" w:hAnsi="Times New Roman" w:eastAsia="仿宋"/>
          <w:b w:val="0"/>
          <w:bCs w:val="0"/>
          <w:color w:val="000000" w:themeColor="text1"/>
          <w:spacing w:val="0"/>
          <w:sz w:val="32"/>
          <w:szCs w:val="32"/>
          <w:lang w:val="en-US" w:eastAsia="zh-CN"/>
        </w:rPr>
        <w:t>会同有关部门</w:t>
      </w:r>
      <w:r>
        <w:rPr>
          <w:rFonts w:ascii="Times New Roman" w:hAnsi="Times New Roman" w:eastAsia="仿宋"/>
          <w:b w:val="0"/>
          <w:bCs w:val="0"/>
          <w:color w:val="000000" w:themeColor="text1"/>
          <w:spacing w:val="0"/>
          <w:sz w:val="32"/>
          <w:szCs w:val="32"/>
        </w:rPr>
        <w:t>对三年提升行动</w:t>
      </w:r>
      <w:r>
        <w:rPr>
          <w:rFonts w:hint="eastAsia" w:ascii="Times New Roman" w:hAnsi="Times New Roman" w:eastAsia="仿宋"/>
          <w:b w:val="0"/>
          <w:bCs w:val="0"/>
          <w:color w:val="000000" w:themeColor="text1"/>
          <w:spacing w:val="0"/>
          <w:sz w:val="32"/>
          <w:szCs w:val="32"/>
          <w:lang w:val="en-US" w:eastAsia="zh-CN"/>
        </w:rPr>
        <w:t>推进</w:t>
      </w:r>
      <w:r>
        <w:rPr>
          <w:rFonts w:ascii="Times New Roman" w:hAnsi="Times New Roman" w:eastAsia="仿宋"/>
          <w:b w:val="0"/>
          <w:bCs w:val="0"/>
          <w:color w:val="000000" w:themeColor="text1"/>
          <w:spacing w:val="0"/>
          <w:sz w:val="32"/>
          <w:szCs w:val="32"/>
        </w:rPr>
        <w:t>情况进行跟踪问效，加强督导评估，及时通报工作进展，确保工作取得实效。各</w:t>
      </w:r>
      <w:r>
        <w:rPr>
          <w:rFonts w:ascii="Times New Roman" w:hAnsi="Times New Roman" w:eastAsia="仿宋"/>
          <w:b w:val="0"/>
          <w:bCs w:val="0"/>
          <w:color w:val="000000" w:themeColor="text1"/>
          <w:spacing w:val="0"/>
          <w:sz w:val="32"/>
          <w:szCs w:val="32"/>
          <w:lang w:val="en-US" w:eastAsia="zh-CN"/>
        </w:rPr>
        <w:t>镇（街）</w:t>
      </w:r>
      <w:r>
        <w:rPr>
          <w:rFonts w:ascii="Times New Roman" w:hAnsi="Times New Roman" w:eastAsia="仿宋"/>
          <w:b w:val="0"/>
          <w:bCs w:val="0"/>
          <w:color w:val="000000" w:themeColor="text1"/>
          <w:spacing w:val="0"/>
          <w:sz w:val="32"/>
          <w:szCs w:val="32"/>
        </w:rPr>
        <w:t>要切实承担起</w:t>
      </w:r>
      <w:r>
        <w:rPr>
          <w:rFonts w:ascii="Times New Roman" w:hAnsi="Times New Roman" w:eastAsia="仿宋"/>
          <w:b w:val="0"/>
          <w:bCs w:val="0"/>
          <w:color w:val="000000" w:themeColor="text1"/>
          <w:spacing w:val="0"/>
          <w:sz w:val="32"/>
          <w:szCs w:val="32"/>
          <w:lang w:val="en-US" w:eastAsia="zh-CN"/>
        </w:rPr>
        <w:t>村卫生室建设主体责任</w:t>
      </w:r>
      <w:r>
        <w:rPr>
          <w:rFonts w:ascii="Times New Roman" w:hAnsi="Times New Roman" w:eastAsia="仿宋"/>
          <w:b w:val="0"/>
          <w:bCs w:val="0"/>
          <w:color w:val="000000" w:themeColor="text1"/>
          <w:spacing w:val="0"/>
          <w:sz w:val="32"/>
          <w:szCs w:val="32"/>
        </w:rPr>
        <w:t>，</w:t>
      </w:r>
      <w:r>
        <w:rPr>
          <w:rFonts w:hint="eastAsia" w:ascii="Times New Roman" w:hAnsi="Times New Roman" w:eastAsia="仿宋"/>
          <w:b w:val="0"/>
          <w:bCs w:val="0"/>
          <w:color w:val="000000" w:themeColor="text1"/>
          <w:spacing w:val="0"/>
          <w:sz w:val="32"/>
          <w:szCs w:val="32"/>
          <w:lang w:val="en-US" w:eastAsia="zh-CN"/>
        </w:rPr>
        <w:t>将</w:t>
      </w:r>
      <w:r>
        <w:rPr>
          <w:rFonts w:ascii="Times New Roman" w:hAnsi="Times New Roman" w:eastAsia="仿宋"/>
          <w:b w:val="0"/>
          <w:bCs w:val="0"/>
          <w:color w:val="000000" w:themeColor="text1"/>
          <w:spacing w:val="0"/>
          <w:sz w:val="32"/>
          <w:szCs w:val="32"/>
        </w:rPr>
        <w:t>三年提升行动</w:t>
      </w:r>
      <w:r>
        <w:rPr>
          <w:rFonts w:hint="eastAsia" w:ascii="Times New Roman" w:hAnsi="Times New Roman" w:eastAsia="仿宋"/>
          <w:b w:val="0"/>
          <w:bCs w:val="0"/>
          <w:color w:val="000000" w:themeColor="text1"/>
          <w:spacing w:val="0"/>
          <w:sz w:val="32"/>
          <w:szCs w:val="32"/>
          <w:lang w:val="en-US" w:eastAsia="zh-CN"/>
        </w:rPr>
        <w:t>列入重要议事日程，</w:t>
      </w:r>
      <w:r>
        <w:rPr>
          <w:rFonts w:ascii="Times New Roman" w:hAnsi="Times New Roman" w:eastAsia="仿宋"/>
          <w:b w:val="0"/>
          <w:bCs w:val="0"/>
          <w:color w:val="000000" w:themeColor="text1"/>
          <w:spacing w:val="0"/>
          <w:sz w:val="32"/>
          <w:szCs w:val="32"/>
        </w:rPr>
        <w:t>统筹做好资金保障和项目建设，确保各项工作有序有力推进。</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楷体" w:hAnsi="楷体" w:eastAsia="楷体"/>
          <w:b w:val="0"/>
          <w:bCs w:val="0"/>
          <w:color w:val="000000" w:themeColor="text1"/>
          <w:spacing w:val="0"/>
          <w:sz w:val="32"/>
          <w:szCs w:val="32"/>
        </w:rPr>
        <w:t>（四）</w:t>
      </w:r>
      <w:r>
        <w:rPr>
          <w:rFonts w:hint="eastAsia" w:ascii="楷体" w:hAnsi="楷体" w:eastAsia="楷体"/>
          <w:b w:val="0"/>
          <w:bCs w:val="0"/>
          <w:color w:val="000000" w:themeColor="text1"/>
          <w:spacing w:val="0"/>
          <w:sz w:val="32"/>
          <w:szCs w:val="32"/>
          <w:lang w:val="en-US" w:eastAsia="zh-CN"/>
        </w:rPr>
        <w:t>加强宣传引导</w:t>
      </w:r>
      <w:r>
        <w:rPr>
          <w:rFonts w:hint="eastAsia" w:ascii="楷体" w:hAnsi="楷体" w:eastAsia="楷体"/>
          <w:b w:val="0"/>
          <w:bCs w:val="0"/>
          <w:color w:val="000000" w:themeColor="text1"/>
          <w:spacing w:val="0"/>
          <w:sz w:val="32"/>
          <w:szCs w:val="32"/>
        </w:rPr>
        <w:t>。</w:t>
      </w:r>
      <w:r>
        <w:rPr>
          <w:rFonts w:ascii="Times New Roman" w:hAnsi="Times New Roman" w:eastAsia="仿宋"/>
          <w:b w:val="0"/>
          <w:bCs w:val="0"/>
          <w:color w:val="000000" w:themeColor="text1"/>
          <w:spacing w:val="0"/>
          <w:sz w:val="32"/>
          <w:szCs w:val="32"/>
        </w:rPr>
        <w:t>大力宣传“三年提升行动”的重要意义和政策措施，统一思想、凝聚共识，及时回应社会关切。注重总结推广好经验、好做法，挖掘宣传好典型、好故事，</w:t>
      </w:r>
      <w:r>
        <w:rPr>
          <w:rFonts w:hint="eastAsia" w:ascii="Times New Roman" w:hAnsi="Times New Roman" w:eastAsia="仿宋"/>
          <w:b w:val="0"/>
          <w:bCs w:val="0"/>
          <w:color w:val="000000" w:themeColor="text1"/>
          <w:spacing w:val="0"/>
          <w:sz w:val="32"/>
          <w:szCs w:val="32"/>
          <w:lang w:val="en-US" w:eastAsia="zh-CN"/>
        </w:rPr>
        <w:t>组织乡村医生</w:t>
      </w:r>
      <w:r>
        <w:rPr>
          <w:rFonts w:ascii="Times New Roman" w:hAnsi="Times New Roman" w:eastAsia="仿宋"/>
          <w:b w:val="0"/>
          <w:bCs w:val="0"/>
          <w:color w:val="000000" w:themeColor="text1"/>
          <w:spacing w:val="0"/>
          <w:sz w:val="32"/>
          <w:szCs w:val="32"/>
          <w:lang w:val="en-US" w:eastAsia="zh-CN"/>
        </w:rPr>
        <w:t>参加全市</w:t>
      </w:r>
      <w:r>
        <w:rPr>
          <w:rFonts w:ascii="Times New Roman" w:hAnsi="Times New Roman" w:eastAsia="仿宋"/>
          <w:b w:val="0"/>
          <w:bCs w:val="0"/>
          <w:color w:val="000000" w:themeColor="text1"/>
          <w:spacing w:val="0"/>
          <w:sz w:val="32"/>
          <w:szCs w:val="32"/>
        </w:rPr>
        <w:t>“百佳乡医”评选活动，</w:t>
      </w:r>
      <w:r>
        <w:rPr>
          <w:rFonts w:hint="eastAsia" w:ascii="Times New Roman" w:hAnsi="Times New Roman" w:eastAsia="仿宋"/>
          <w:b w:val="0"/>
          <w:bCs w:val="0"/>
          <w:color w:val="000000" w:themeColor="text1"/>
          <w:spacing w:val="0"/>
          <w:sz w:val="32"/>
          <w:szCs w:val="32"/>
          <w:lang w:val="en-US" w:eastAsia="zh-CN"/>
        </w:rPr>
        <w:t>推介</w:t>
      </w:r>
      <w:r>
        <w:rPr>
          <w:rFonts w:ascii="Times New Roman" w:hAnsi="Times New Roman" w:eastAsia="仿宋"/>
          <w:b w:val="0"/>
          <w:bCs w:val="0"/>
          <w:color w:val="000000" w:themeColor="text1"/>
          <w:spacing w:val="0"/>
          <w:sz w:val="32"/>
          <w:szCs w:val="32"/>
        </w:rPr>
        <w:t>样板村卫生室建设的典型事例，以点带面、以面带全，为全</w:t>
      </w:r>
      <w:r>
        <w:rPr>
          <w:rFonts w:ascii="Times New Roman" w:hAnsi="Times New Roman" w:eastAsia="仿宋"/>
          <w:b w:val="0"/>
          <w:bCs w:val="0"/>
          <w:color w:val="000000" w:themeColor="text1"/>
          <w:spacing w:val="0"/>
          <w:sz w:val="32"/>
          <w:szCs w:val="32"/>
          <w:lang w:val="en-US" w:eastAsia="zh-CN"/>
        </w:rPr>
        <w:t>区</w:t>
      </w:r>
      <w:r>
        <w:rPr>
          <w:rFonts w:ascii="Times New Roman" w:hAnsi="Times New Roman" w:eastAsia="仿宋"/>
          <w:b w:val="0"/>
          <w:bCs w:val="0"/>
          <w:color w:val="000000" w:themeColor="text1"/>
          <w:spacing w:val="0"/>
          <w:sz w:val="32"/>
          <w:szCs w:val="32"/>
        </w:rPr>
        <w:t>卫生健康事业高质量发展营造良好氛围。</w:t>
      </w:r>
    </w:p>
    <w:p>
      <w:pPr>
        <w:keepNext w:val="0"/>
        <w:keepLines w:val="0"/>
        <w:pageBreakBefore w:val="0"/>
        <w:widowControl w:val="0"/>
        <w:kinsoku/>
        <w:wordWrap/>
        <w:overflowPunct w:val="0"/>
        <w:topLinePunct w:val="0"/>
        <w:autoSpaceDE/>
        <w:autoSpaceDN/>
        <w:bidi w:val="0"/>
        <w:adjustRightInd/>
        <w:spacing w:line="600" w:lineRule="exact"/>
        <w:ind w:left="0" w:leftChars="0" w:firstLine="618" w:firstLineChars="20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927" w:leftChars="0" w:hanging="927" w:hangingChars="300"/>
        <w:textAlignment w:val="auto"/>
        <w:rPr>
          <w:rFonts w:hint="eastAsia"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rPr>
        <w:t>附件：</w:t>
      </w:r>
      <w:r>
        <w:rPr>
          <w:rFonts w:hint="eastAsia" w:ascii="Times New Roman" w:hAnsi="Times New Roman" w:eastAsia="仿宋"/>
          <w:b w:val="0"/>
          <w:bCs w:val="0"/>
          <w:color w:val="000000" w:themeColor="text1"/>
          <w:spacing w:val="0"/>
          <w:sz w:val="32"/>
          <w:szCs w:val="32"/>
          <w:lang w:val="en-US" w:eastAsia="zh-CN"/>
        </w:rPr>
        <w:t>1</w:t>
      </w:r>
      <w:r>
        <w:rPr>
          <w:rFonts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枣庄市样板村卫生室建设标准</w:t>
      </w:r>
    </w:p>
    <w:p>
      <w:pPr>
        <w:keepNext w:val="0"/>
        <w:keepLines w:val="0"/>
        <w:pageBreakBefore w:val="0"/>
        <w:widowControl w:val="0"/>
        <w:kinsoku/>
        <w:wordWrap/>
        <w:overflowPunct w:val="0"/>
        <w:topLinePunct w:val="0"/>
        <w:autoSpaceDE/>
        <w:autoSpaceDN/>
        <w:bidi w:val="0"/>
        <w:adjustRightInd/>
        <w:spacing w:line="600" w:lineRule="exact"/>
        <w:ind w:left="0" w:leftChars="0" w:firstLine="927" w:firstLineChars="300"/>
        <w:textAlignment w:val="auto"/>
        <w:rPr>
          <w:rFonts w:hint="eastAsia" w:ascii="Times New Roman" w:hAnsi="Times New Roman" w:eastAsia="仿宋"/>
          <w:b w:val="0"/>
          <w:bCs w:val="0"/>
          <w:color w:val="000000" w:themeColor="text1"/>
          <w:spacing w:val="0"/>
          <w:sz w:val="32"/>
          <w:szCs w:val="32"/>
          <w:lang w:val="en-US" w:eastAsia="zh-CN"/>
        </w:rPr>
      </w:pPr>
      <w:r>
        <w:rPr>
          <w:rFonts w:hint="eastAsia" w:ascii="Times New Roman" w:hAnsi="Times New Roman" w:eastAsia="仿宋"/>
          <w:b w:val="0"/>
          <w:bCs w:val="0"/>
          <w:color w:val="000000" w:themeColor="text1"/>
          <w:spacing w:val="0"/>
          <w:sz w:val="32"/>
          <w:szCs w:val="32"/>
          <w:lang w:val="en-US" w:eastAsia="zh-CN"/>
        </w:rPr>
        <w:t>2</w:t>
      </w:r>
      <w:r>
        <w:rPr>
          <w:rFonts w:ascii="Times New Roman" w:hAnsi="Times New Roman" w:eastAsia="仿宋"/>
          <w:b w:val="0"/>
          <w:bCs w:val="0"/>
          <w:color w:val="000000" w:themeColor="text1"/>
          <w:spacing w:val="0"/>
          <w:sz w:val="32"/>
          <w:szCs w:val="32"/>
          <w:lang w:eastAsia="zh-CN"/>
        </w:rPr>
        <w:t>、</w:t>
      </w:r>
      <w:r>
        <w:rPr>
          <w:rFonts w:ascii="Times New Roman" w:hAnsi="Times New Roman" w:eastAsia="仿宋"/>
          <w:b w:val="0"/>
          <w:bCs w:val="0"/>
          <w:color w:val="000000" w:themeColor="text1"/>
          <w:spacing w:val="0"/>
          <w:sz w:val="32"/>
          <w:szCs w:val="32"/>
        </w:rPr>
        <w:t>枣庄市样板村卫生室中医阁建设标准</w:t>
      </w:r>
    </w:p>
    <w:p>
      <w:pPr>
        <w:keepNext w:val="0"/>
        <w:keepLines w:val="0"/>
        <w:pageBreakBefore w:val="0"/>
        <w:widowControl w:val="0"/>
        <w:kinsoku/>
        <w:wordWrap/>
        <w:overflowPunct w:val="0"/>
        <w:topLinePunct w:val="0"/>
        <w:autoSpaceDE/>
        <w:autoSpaceDN/>
        <w:bidi w:val="0"/>
        <w:adjustRightInd/>
        <w:spacing w:line="600" w:lineRule="exact"/>
        <w:ind w:left="0" w:leftChars="0" w:firstLine="0" w:firstLine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 xml:space="preserve"> </w:t>
      </w: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hint="eastAsia"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rPr>
        <w:t>附件</w:t>
      </w:r>
      <w:r>
        <w:rPr>
          <w:rFonts w:hint="eastAsia" w:ascii="Times New Roman" w:hAnsi="Times New Roman" w:eastAsia="仿宋"/>
          <w:b w:val="0"/>
          <w:bCs w:val="0"/>
          <w:color w:val="000000" w:themeColor="text1"/>
          <w:spacing w:val="0"/>
          <w:sz w:val="32"/>
          <w:szCs w:val="32"/>
          <w:lang w:val="en-US" w:eastAsia="zh-CN"/>
        </w:rPr>
        <w:t>1</w:t>
      </w:r>
    </w:p>
    <w:p>
      <w:pPr>
        <w:keepNext w:val="0"/>
        <w:keepLines w:val="0"/>
        <w:pageBreakBefore w:val="0"/>
        <w:widowControl w:val="0"/>
        <w:kinsoku/>
        <w:wordWrap/>
        <w:overflowPunct w:val="0"/>
        <w:topLinePunct w:val="0"/>
        <w:autoSpaceDE/>
        <w:autoSpaceDN/>
        <w:bidi w:val="0"/>
        <w:adjustRightInd/>
        <w:spacing w:line="600" w:lineRule="exact"/>
        <w:ind w:left="0" w:leftChars="0"/>
        <w:jc w:val="center"/>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枣庄市样板村卫生室建设标准</w:t>
      </w:r>
    </w:p>
    <w:tbl>
      <w:tblPr>
        <w:tblStyle w:val="4"/>
        <w:tblW w:w="8987" w:type="dxa"/>
        <w:jc w:val="center"/>
        <w:tblLayout w:type="autofit"/>
        <w:tblCellMar>
          <w:top w:w="0" w:type="dxa"/>
          <w:left w:w="0" w:type="dxa"/>
          <w:bottom w:w="0" w:type="dxa"/>
          <w:right w:w="0" w:type="dxa"/>
        </w:tblCellMar>
      </w:tblPr>
      <w:tblGrid>
        <w:gridCol w:w="1235"/>
        <w:gridCol w:w="7752"/>
      </w:tblGrid>
      <w:tr>
        <w:tblPrEx>
          <w:tblCellMar>
            <w:top w:w="0" w:type="dxa"/>
            <w:left w:w="0" w:type="dxa"/>
            <w:bottom w:w="0" w:type="dxa"/>
            <w:right w:w="0" w:type="dxa"/>
          </w:tblCellMar>
        </w:tblPrEx>
        <w:trPr>
          <w:trHeight w:val="420"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一、规划设置</w:t>
            </w:r>
          </w:p>
        </w:tc>
      </w:tr>
      <w:tr>
        <w:tblPrEx>
          <w:tblCellMar>
            <w:top w:w="0" w:type="dxa"/>
            <w:left w:w="0" w:type="dxa"/>
            <w:bottom w:w="0" w:type="dxa"/>
            <w:right w:w="0" w:type="dxa"/>
          </w:tblCellMar>
        </w:tblPrEx>
        <w:trPr>
          <w:trHeight w:val="9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1.设置合理</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符合区域卫生规划、医疗机构设置规划和村庄规划。</w:t>
            </w:r>
          </w:p>
        </w:tc>
      </w:tr>
      <w:tr>
        <w:tblPrEx>
          <w:tblCellMar>
            <w:top w:w="0" w:type="dxa"/>
            <w:left w:w="0" w:type="dxa"/>
            <w:bottom w:w="0" w:type="dxa"/>
            <w:right w:w="0" w:type="dxa"/>
          </w:tblCellMar>
        </w:tblPrEx>
        <w:trPr>
          <w:trHeight w:val="185"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2.建设条件</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（1）地理位置:位于交通便利、人口相对集中处;</w:t>
            </w:r>
          </w:p>
        </w:tc>
      </w:tr>
      <w:tr>
        <w:tblPrEx>
          <w:tblCellMar>
            <w:top w:w="0" w:type="dxa"/>
            <w:left w:w="0" w:type="dxa"/>
            <w:bottom w:w="0" w:type="dxa"/>
            <w:right w:w="0" w:type="dxa"/>
          </w:tblCellMar>
        </w:tblPrEx>
        <w:trPr>
          <w:trHeight w:val="385"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（2）选址设置:由村集体无偿提供土地，选址与村党群服务中心、村级养老服务机构、残疾人康复机构等相结合;</w:t>
            </w:r>
          </w:p>
        </w:tc>
      </w:tr>
      <w:tr>
        <w:tblPrEx>
          <w:tblCellMar>
            <w:top w:w="0" w:type="dxa"/>
            <w:left w:w="0" w:type="dxa"/>
            <w:bottom w:w="0" w:type="dxa"/>
            <w:right w:w="0" w:type="dxa"/>
          </w:tblCellMar>
        </w:tblPrEx>
        <w:trPr>
          <w:trHeight w:val="345"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（3）产权情况:房屋产权公有;</w:t>
            </w:r>
          </w:p>
        </w:tc>
      </w:tr>
      <w:tr>
        <w:tblPrEx>
          <w:tblCellMar>
            <w:top w:w="0" w:type="dxa"/>
            <w:left w:w="0" w:type="dxa"/>
            <w:bottom w:w="0" w:type="dxa"/>
            <w:right w:w="0" w:type="dxa"/>
          </w:tblCellMar>
        </w:tblPrEx>
        <w:trPr>
          <w:trHeight w:val="391"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（4）基础设施:实现通水、通电、通网络。</w:t>
            </w:r>
          </w:p>
        </w:tc>
      </w:tr>
      <w:tr>
        <w:tblPrEx>
          <w:tblCellMar>
            <w:top w:w="0" w:type="dxa"/>
            <w:left w:w="0" w:type="dxa"/>
            <w:bottom w:w="0" w:type="dxa"/>
            <w:right w:w="0" w:type="dxa"/>
          </w:tblCellMar>
        </w:tblPrEx>
        <w:trPr>
          <w:trHeight w:val="488" w:hRule="atLeast"/>
          <w:jc w:val="center"/>
        </w:trPr>
        <w:tc>
          <w:tcPr>
            <w:tcW w:w="1235" w:type="dxa"/>
            <w:vMerge w:val="restart"/>
            <w:tcBorders>
              <w:top w:val="single" w:color="000000" w:sz="4" w:space="0"/>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3.命名规范</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（1）命名规则:按照“镇（涉农街道）名＋行政村名＋村卫生室”统一规则命名，与医疗机构执业许可证（唯一名称）一致;</w:t>
            </w:r>
          </w:p>
        </w:tc>
      </w:tr>
      <w:tr>
        <w:tblPrEx>
          <w:tblCellMar>
            <w:top w:w="0" w:type="dxa"/>
            <w:left w:w="0" w:type="dxa"/>
            <w:bottom w:w="0" w:type="dxa"/>
            <w:right w:w="0" w:type="dxa"/>
          </w:tblCellMar>
        </w:tblPrEx>
        <w:trPr>
          <w:trHeight w:val="642"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（2）规格要求:按照统一建设标准，统一标识标牌制作（包括规格、字体、颜色等），室内外统一着色，统一宣传栏、公示栏制作规格。</w:t>
            </w:r>
          </w:p>
        </w:tc>
      </w:tr>
      <w:tr>
        <w:tblPrEx>
          <w:tblCellMar>
            <w:top w:w="0" w:type="dxa"/>
            <w:left w:w="0" w:type="dxa"/>
            <w:bottom w:w="0" w:type="dxa"/>
            <w:right w:w="0" w:type="dxa"/>
          </w:tblCellMar>
        </w:tblPrEx>
        <w:trPr>
          <w:trHeight w:val="475"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二、房屋基础建设</w:t>
            </w:r>
          </w:p>
        </w:tc>
      </w:tr>
      <w:tr>
        <w:tblPrEx>
          <w:tblCellMar>
            <w:top w:w="0" w:type="dxa"/>
            <w:left w:w="0" w:type="dxa"/>
            <w:bottom w:w="0" w:type="dxa"/>
            <w:right w:w="0" w:type="dxa"/>
          </w:tblCellMar>
        </w:tblPrEx>
        <w:trPr>
          <w:trHeight w:val="351"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4.房屋面积</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（1）服务人口在800-2000人的，房屋面积按照每百人8-10平方米计算;</w:t>
            </w:r>
          </w:p>
        </w:tc>
      </w:tr>
      <w:tr>
        <w:tblPrEx>
          <w:tblCellMar>
            <w:top w:w="0" w:type="dxa"/>
            <w:left w:w="0" w:type="dxa"/>
            <w:bottom w:w="0" w:type="dxa"/>
            <w:right w:w="0" w:type="dxa"/>
          </w:tblCellMar>
        </w:tblPrEx>
        <w:trPr>
          <w:trHeight w:val="259"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（2）服务人口在2000人以上的，原则上不低于150平方米。</w:t>
            </w:r>
          </w:p>
        </w:tc>
      </w:tr>
      <w:tr>
        <w:tblPrEx>
          <w:tblCellMar>
            <w:top w:w="0" w:type="dxa"/>
            <w:left w:w="0" w:type="dxa"/>
            <w:bottom w:w="0" w:type="dxa"/>
            <w:right w:w="0" w:type="dxa"/>
          </w:tblCellMar>
        </w:tblPrEx>
        <w:trPr>
          <w:trHeight w:val="421"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5.房屋设计</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（1）外观设计:院内道路硬化，外墙装饰美观;墙面、顶棚平整整洁;</w:t>
            </w:r>
          </w:p>
        </w:tc>
      </w:tr>
      <w:tr>
        <w:tblPrEx>
          <w:tblCellMar>
            <w:top w:w="0" w:type="dxa"/>
            <w:left w:w="0" w:type="dxa"/>
            <w:bottom w:w="0" w:type="dxa"/>
            <w:right w:w="0" w:type="dxa"/>
          </w:tblCellMar>
        </w:tblPrEx>
        <w:trPr>
          <w:trHeight w:val="409"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（2）内部设计:室内地面硬化，门窗密封良好;整体环境温馨，整洁美观、安静独立、标识清晰;</w:t>
            </w:r>
          </w:p>
        </w:tc>
      </w:tr>
      <w:tr>
        <w:tblPrEx>
          <w:tblCellMar>
            <w:top w:w="0" w:type="dxa"/>
            <w:left w:w="0" w:type="dxa"/>
            <w:bottom w:w="0" w:type="dxa"/>
            <w:right w:w="0" w:type="dxa"/>
          </w:tblCellMar>
        </w:tblPrEx>
        <w:trPr>
          <w:trHeight w:val="424"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（3）建设要求:治疗室面积不低于10平方米，</w:t>
            </w:r>
            <w:r>
              <w:rPr>
                <w:rFonts w:ascii="Times New Roman" w:hAnsi="Times New Roman" w:eastAsia="仿宋"/>
                <w:b w:val="0"/>
                <w:bCs w:val="0"/>
                <w:color w:val="000000" w:themeColor="text1"/>
                <w:spacing w:val="0"/>
                <w:sz w:val="32"/>
                <w:szCs w:val="32"/>
                <w:lang w:eastAsia="zh-CN"/>
              </w:rPr>
              <w:t>内墙壁贴瓷砖，高度不低于</w:t>
            </w:r>
            <w:r>
              <w:rPr>
                <w:rFonts w:ascii="Times New Roman" w:hAnsi="Times New Roman" w:eastAsia="仿宋"/>
                <w:b w:val="0"/>
                <w:bCs w:val="0"/>
                <w:color w:val="000000" w:themeColor="text1"/>
                <w:spacing w:val="0"/>
                <w:sz w:val="32"/>
                <w:szCs w:val="32"/>
                <w:lang w:val="en-US" w:eastAsia="zh-CN"/>
              </w:rPr>
              <w:t>1.5米，</w:t>
            </w:r>
            <w:r>
              <w:rPr>
                <w:rFonts w:ascii="Times New Roman" w:hAnsi="Times New Roman" w:eastAsia="仿宋"/>
                <w:b w:val="0"/>
                <w:bCs w:val="0"/>
                <w:color w:val="000000" w:themeColor="text1"/>
                <w:spacing w:val="0"/>
                <w:sz w:val="32"/>
                <w:szCs w:val="32"/>
              </w:rPr>
              <w:t>配有洗涤池及上下水系统。</w:t>
            </w:r>
          </w:p>
        </w:tc>
      </w:tr>
      <w:tr>
        <w:tblPrEx>
          <w:tblCellMar>
            <w:top w:w="0" w:type="dxa"/>
            <w:left w:w="0" w:type="dxa"/>
            <w:bottom w:w="0" w:type="dxa"/>
            <w:right w:w="0" w:type="dxa"/>
          </w:tblCellMar>
        </w:tblPrEx>
        <w:trPr>
          <w:trHeight w:val="557" w:hRule="atLeast"/>
          <w:jc w:val="center"/>
        </w:trPr>
        <w:tc>
          <w:tcPr>
            <w:tcW w:w="1235" w:type="dxa"/>
            <w:vMerge w:val="restart"/>
            <w:tcBorders>
              <w:top w:val="single" w:color="000000" w:sz="4" w:space="0"/>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6.基础设施</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（1）配套设施:无障碍设施完善，有防止跌倒、烫伤等安全措施;配备必要的清洁取暖、降温除湿等设施;</w:t>
            </w:r>
          </w:p>
        </w:tc>
      </w:tr>
      <w:tr>
        <w:tblPrEx>
          <w:tblCellMar>
            <w:top w:w="0" w:type="dxa"/>
            <w:left w:w="0" w:type="dxa"/>
            <w:bottom w:w="0" w:type="dxa"/>
            <w:right w:w="0" w:type="dxa"/>
          </w:tblCellMar>
        </w:tblPrEx>
        <w:trPr>
          <w:trHeight w:val="653"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（2）生产安全设置:配备数字监控、烟雾报警器、应急照明、紫外线消毒灯等设施，符合消防安全要求;</w:t>
            </w:r>
          </w:p>
        </w:tc>
      </w:tr>
      <w:tr>
        <w:tblPrEx>
          <w:tblCellMar>
            <w:top w:w="0" w:type="dxa"/>
            <w:left w:w="0" w:type="dxa"/>
            <w:bottom w:w="0" w:type="dxa"/>
            <w:right w:w="0" w:type="dxa"/>
          </w:tblCellMar>
        </w:tblPrEx>
        <w:trPr>
          <w:trHeight w:val="1013"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（3）卫生洁具标准:选择耐腐蚀、冲洗效果好、不易有污物残留的卫生洁具、洗涤池及配件，洗手池处安装非接触或非手动开关;设有无害化卫生厕所，马桶冲水设备设置成感应式或脚踏式开关;</w:t>
            </w:r>
          </w:p>
        </w:tc>
      </w:tr>
      <w:tr>
        <w:tblPrEx>
          <w:tblCellMar>
            <w:top w:w="0" w:type="dxa"/>
            <w:left w:w="0" w:type="dxa"/>
            <w:bottom w:w="0" w:type="dxa"/>
            <w:right w:w="0" w:type="dxa"/>
          </w:tblCellMar>
        </w:tblPrEx>
        <w:trPr>
          <w:trHeight w:val="493"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（4）医疗隐私保护:诊室、治疗室等区域提供必要的私密性保护措施。</w:t>
            </w:r>
          </w:p>
        </w:tc>
      </w:tr>
      <w:tr>
        <w:tblPrEx>
          <w:tblCellMar>
            <w:top w:w="0" w:type="dxa"/>
            <w:left w:w="0" w:type="dxa"/>
            <w:bottom w:w="0" w:type="dxa"/>
            <w:right w:w="0" w:type="dxa"/>
          </w:tblCellMar>
        </w:tblPrEx>
        <w:trPr>
          <w:trHeight w:val="1172"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7.布局合理</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1）科室设置:诊断室、治疗室、观察室、药房、康复室、检查检验室、健康教育和公共卫生室等分室设置，布局科学、合理，符合感染管理要求，诊室标示清楚，患者就诊方便，流程规范;有条件的可设置值班室、健康自检室等;</w:t>
            </w:r>
          </w:p>
        </w:tc>
      </w:tr>
      <w:tr>
        <w:tblPrEx>
          <w:tblCellMar>
            <w:top w:w="0" w:type="dxa"/>
            <w:left w:w="0" w:type="dxa"/>
            <w:bottom w:w="0" w:type="dxa"/>
            <w:right w:w="0" w:type="dxa"/>
          </w:tblCellMar>
        </w:tblPrEx>
        <w:trPr>
          <w:trHeight w:val="548"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（2）配对管理:诊断室数量与医生人数匹配，候诊区设置合理;</w:t>
            </w:r>
          </w:p>
        </w:tc>
      </w:tr>
      <w:tr>
        <w:tblPrEx>
          <w:tblCellMar>
            <w:top w:w="0" w:type="dxa"/>
            <w:left w:w="0" w:type="dxa"/>
            <w:bottom w:w="0" w:type="dxa"/>
            <w:right w:w="0" w:type="dxa"/>
          </w:tblCellMar>
        </w:tblPrEx>
        <w:trPr>
          <w:trHeight w:val="603"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（3）管理制度:观察室设有观察窗（能清晰了解观察室内情况），具备通风条件;诊室内引导居民有序就医，落实一人一诊室制度。</w:t>
            </w:r>
          </w:p>
        </w:tc>
      </w:tr>
      <w:tr>
        <w:tblPrEx>
          <w:tblCellMar>
            <w:top w:w="0" w:type="dxa"/>
            <w:left w:w="0" w:type="dxa"/>
            <w:bottom w:w="0" w:type="dxa"/>
            <w:right w:w="0" w:type="dxa"/>
          </w:tblCellMar>
        </w:tblPrEx>
        <w:trPr>
          <w:trHeight w:val="410"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三、设备配置</w:t>
            </w:r>
          </w:p>
        </w:tc>
      </w:tr>
      <w:tr>
        <w:tblPrEx>
          <w:tblCellMar>
            <w:top w:w="0" w:type="dxa"/>
            <w:left w:w="0" w:type="dxa"/>
            <w:bottom w:w="0" w:type="dxa"/>
            <w:right w:w="0" w:type="dxa"/>
          </w:tblCellMar>
        </w:tblPrEx>
        <w:trPr>
          <w:trHeight w:val="514"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8.设备养护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（1）配备要求:根据服务人口数量和医疗功能定位，基本设备配备齐全;</w:t>
            </w:r>
          </w:p>
        </w:tc>
      </w:tr>
      <w:tr>
        <w:tblPrEx>
          <w:tblCellMar>
            <w:top w:w="0" w:type="dxa"/>
            <w:left w:w="0" w:type="dxa"/>
            <w:bottom w:w="0" w:type="dxa"/>
            <w:right w:w="0" w:type="dxa"/>
          </w:tblCellMar>
        </w:tblPrEx>
        <w:trPr>
          <w:trHeight w:val="336"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（2）管理要求：医疗设备专人管理，严格按照规定要求进行定期强检，定期保养，及时维修，适时更新，确保其使用情况良好。</w:t>
            </w:r>
          </w:p>
        </w:tc>
      </w:tr>
      <w:tr>
        <w:tblPrEx>
          <w:tblCellMar>
            <w:top w:w="0" w:type="dxa"/>
            <w:left w:w="0" w:type="dxa"/>
            <w:bottom w:w="0" w:type="dxa"/>
            <w:right w:w="0" w:type="dxa"/>
          </w:tblCellMar>
        </w:tblPrEx>
        <w:trPr>
          <w:trHeight w:val="72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9.诊断室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配置</w:t>
            </w:r>
            <w:r>
              <w:rPr>
                <w:rFonts w:ascii="Times New Roman" w:hAnsi="Times New Roman" w:eastAsia="仿宋"/>
                <w:b w:val="0"/>
                <w:bCs w:val="0"/>
                <w:color w:val="000000" w:themeColor="text1"/>
                <w:spacing w:val="0"/>
                <w:kern w:val="0"/>
                <w:sz w:val="32"/>
                <w:szCs w:val="32"/>
                <w:lang w:eastAsia="zh-CN"/>
              </w:rPr>
              <w:t>多功能</w:t>
            </w:r>
            <w:r>
              <w:rPr>
                <w:rFonts w:ascii="Times New Roman" w:hAnsi="Times New Roman" w:eastAsia="仿宋"/>
                <w:b w:val="0"/>
                <w:bCs w:val="0"/>
                <w:color w:val="000000" w:themeColor="text1"/>
                <w:spacing w:val="0"/>
                <w:kern w:val="0"/>
                <w:sz w:val="32"/>
                <w:szCs w:val="32"/>
              </w:rPr>
              <w:t>诊疗床、诊桌椅、资料柜、体温计、听诊器、压舌板、手电筒、血压计、血糖仪、壁挂式全科诊断仪、身高体重计、观片灯、视力表灯箱</w:t>
            </w:r>
            <w:r>
              <w:rPr>
                <w:rFonts w:ascii="Times New Roman" w:hAnsi="Times New Roman" w:eastAsia="仿宋"/>
                <w:b w:val="0"/>
                <w:bCs w:val="0"/>
                <w:color w:val="000000" w:themeColor="text1"/>
                <w:spacing w:val="0"/>
                <w:kern w:val="0"/>
                <w:sz w:val="32"/>
                <w:szCs w:val="32"/>
                <w:lang w:eastAsia="zh-CN"/>
              </w:rPr>
              <w:t>、</w:t>
            </w:r>
            <w:r>
              <w:rPr>
                <w:rFonts w:ascii="Times New Roman" w:hAnsi="Times New Roman" w:eastAsia="仿宋"/>
                <w:b w:val="0"/>
                <w:bCs w:val="0"/>
                <w:color w:val="000000" w:themeColor="text1"/>
                <w:spacing w:val="0"/>
                <w:kern w:val="0"/>
                <w:sz w:val="32"/>
                <w:szCs w:val="32"/>
                <w:lang w:val="en-US" w:eastAsia="zh-CN"/>
              </w:rPr>
              <w:t>10g尼龙单丝、检眼镜</w:t>
            </w:r>
            <w:r>
              <w:rPr>
                <w:rFonts w:ascii="Times New Roman" w:hAnsi="Times New Roman" w:eastAsia="仿宋"/>
                <w:b w:val="0"/>
                <w:bCs w:val="0"/>
                <w:color w:val="000000" w:themeColor="text1"/>
                <w:spacing w:val="0"/>
                <w:kern w:val="0"/>
                <w:sz w:val="32"/>
                <w:szCs w:val="32"/>
              </w:rPr>
              <w:t>等。</w:t>
            </w:r>
          </w:p>
        </w:tc>
      </w:tr>
      <w:tr>
        <w:tblPrEx>
          <w:tblCellMar>
            <w:top w:w="0" w:type="dxa"/>
            <w:left w:w="0" w:type="dxa"/>
            <w:bottom w:w="0" w:type="dxa"/>
            <w:right w:w="0" w:type="dxa"/>
          </w:tblCellMar>
        </w:tblPrEx>
        <w:trPr>
          <w:trHeight w:val="96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10.治疗室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配备治疗（处置）台、物品（药品）柜、无菌柜、冷藏包（箱）、出诊箱、急救箱（急救药品不得少于12种）、氧气袋、氧气瓶、治疗推车、治疗盘、有盖方盘、利器盒、地站灯、雾化机、必要抢救器材（如开口器、简易呼吸器、吸痰器等）等。</w:t>
            </w:r>
          </w:p>
        </w:tc>
      </w:tr>
      <w:tr>
        <w:tblPrEx>
          <w:tblCellMar>
            <w:top w:w="0" w:type="dxa"/>
            <w:left w:w="0" w:type="dxa"/>
            <w:bottom w:w="0" w:type="dxa"/>
            <w:right w:w="0" w:type="dxa"/>
          </w:tblCellMar>
        </w:tblPrEx>
        <w:trPr>
          <w:trHeight w:val="347"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11.观察室</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（1）配备必要的观察床（椅），</w:t>
            </w:r>
            <w:r>
              <w:rPr>
                <w:rFonts w:ascii="Times New Roman" w:hAnsi="Times New Roman" w:eastAsia="仿宋"/>
                <w:b w:val="0"/>
                <w:bCs w:val="0"/>
                <w:color w:val="000000" w:themeColor="text1"/>
                <w:spacing w:val="0"/>
                <w:kern w:val="0"/>
                <w:sz w:val="32"/>
                <w:szCs w:val="32"/>
                <w:lang w:eastAsia="zh-CN"/>
              </w:rPr>
              <w:t>至少</w:t>
            </w:r>
            <w:r>
              <w:rPr>
                <w:rFonts w:ascii="Times New Roman" w:hAnsi="Times New Roman" w:eastAsia="仿宋"/>
                <w:b w:val="0"/>
                <w:bCs w:val="0"/>
                <w:color w:val="000000" w:themeColor="text1"/>
                <w:spacing w:val="0"/>
                <w:kern w:val="0"/>
                <w:sz w:val="32"/>
                <w:szCs w:val="32"/>
                <w:lang w:val="en-US" w:eastAsia="zh-CN"/>
              </w:rPr>
              <w:t>1张可起背式观察床，</w:t>
            </w:r>
            <w:r>
              <w:rPr>
                <w:rFonts w:ascii="Times New Roman" w:hAnsi="Times New Roman" w:eastAsia="仿宋"/>
                <w:b w:val="0"/>
                <w:bCs w:val="0"/>
                <w:color w:val="000000" w:themeColor="text1"/>
                <w:spacing w:val="0"/>
                <w:kern w:val="0"/>
                <w:sz w:val="32"/>
                <w:szCs w:val="32"/>
              </w:rPr>
              <w:t>选配呼叫系统;</w:t>
            </w:r>
          </w:p>
        </w:tc>
      </w:tr>
      <w:tr>
        <w:tblPrEx>
          <w:tblCellMar>
            <w:top w:w="0" w:type="dxa"/>
            <w:left w:w="0" w:type="dxa"/>
            <w:bottom w:w="0" w:type="dxa"/>
            <w:right w:w="0" w:type="dxa"/>
          </w:tblCellMar>
        </w:tblPrEx>
        <w:trPr>
          <w:trHeight w:val="503"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（2）经县级卫生健康行政部门核准开展静脉给药服务项目的，可依需要配备输液床（椅）。</w:t>
            </w:r>
          </w:p>
        </w:tc>
      </w:tr>
      <w:tr>
        <w:tblPrEx>
          <w:tblCellMar>
            <w:top w:w="0" w:type="dxa"/>
            <w:left w:w="0" w:type="dxa"/>
            <w:bottom w:w="0" w:type="dxa"/>
            <w:right w:w="0" w:type="dxa"/>
          </w:tblCellMar>
        </w:tblPrEx>
        <w:trPr>
          <w:trHeight w:val="555"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12.药房</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（1）配备药品柜（包括西药柜、中药柜等）和满足药品储存不同温度要求的冷藏柜或电冰箱等;</w:t>
            </w:r>
          </w:p>
        </w:tc>
      </w:tr>
      <w:tr>
        <w:tblPrEx>
          <w:tblCellMar>
            <w:top w:w="0" w:type="dxa"/>
            <w:left w:w="0" w:type="dxa"/>
            <w:bottom w:w="0" w:type="dxa"/>
            <w:right w:w="0" w:type="dxa"/>
          </w:tblCellMar>
        </w:tblPrEx>
        <w:trPr>
          <w:trHeight w:val="287"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（2）有避光、通风、防鼠、防尘、防潮、防霉等设施（如除湿机或排风扇等）。</w:t>
            </w:r>
          </w:p>
        </w:tc>
      </w:tr>
      <w:tr>
        <w:tblPrEx>
          <w:tblCellMar>
            <w:top w:w="0" w:type="dxa"/>
            <w:left w:w="0" w:type="dxa"/>
            <w:bottom w:w="0" w:type="dxa"/>
            <w:right w:w="0" w:type="dxa"/>
          </w:tblCellMar>
        </w:tblPrEx>
        <w:trPr>
          <w:trHeight w:val="368" w:hRule="atLeast"/>
          <w:jc w:val="center"/>
        </w:trPr>
        <w:tc>
          <w:tcPr>
            <w:tcW w:w="1235" w:type="dxa"/>
            <w:vMerge w:val="restart"/>
            <w:tcBorders>
              <w:top w:val="single" w:color="000000" w:sz="4" w:space="0"/>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13.康复室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（1）配备电磁波治疗仪、电麻仪、艾灸仪等康复设备;</w:t>
            </w:r>
          </w:p>
        </w:tc>
      </w:tr>
      <w:tr>
        <w:tblPrEx>
          <w:tblCellMar>
            <w:top w:w="0" w:type="dxa"/>
            <w:left w:w="0" w:type="dxa"/>
            <w:bottom w:w="0" w:type="dxa"/>
            <w:right w:w="0" w:type="dxa"/>
          </w:tblCellMar>
        </w:tblPrEx>
        <w:trPr>
          <w:trHeight w:val="90"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（2）配备肩关节训练器、训练床、训练用阶梯、平行杠、姿势镜等1种以上康复设备;</w:t>
            </w:r>
          </w:p>
        </w:tc>
      </w:tr>
      <w:tr>
        <w:tblPrEx>
          <w:tblCellMar>
            <w:top w:w="0" w:type="dxa"/>
            <w:left w:w="0" w:type="dxa"/>
            <w:bottom w:w="0" w:type="dxa"/>
            <w:right w:w="0" w:type="dxa"/>
          </w:tblCellMar>
        </w:tblPrEx>
        <w:trPr>
          <w:trHeight w:val="682"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（3）配备电子针疗仪、牵引床、红外线治疗仪、低频脉冲电治疗仪、中频脉冲电治疗仪、微波治疗仪、超声波治疗仪等1种以上理疗设备。</w:t>
            </w:r>
          </w:p>
        </w:tc>
      </w:tr>
      <w:tr>
        <w:tblPrEx>
          <w:tblCellMar>
            <w:top w:w="0" w:type="dxa"/>
            <w:left w:w="0" w:type="dxa"/>
            <w:bottom w:w="0" w:type="dxa"/>
            <w:right w:w="0" w:type="dxa"/>
          </w:tblCellMar>
        </w:tblPrEx>
        <w:trPr>
          <w:trHeight w:val="71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14.健康教育和公共卫生室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配有健康档案柜、基本健康教育书籍及相关设备（如电视、电脑、电话、打印机、照相机、投影仪等）。</w:t>
            </w:r>
          </w:p>
        </w:tc>
      </w:tr>
      <w:tr>
        <w:tblPrEx>
          <w:tblCellMar>
            <w:top w:w="0" w:type="dxa"/>
            <w:left w:w="0" w:type="dxa"/>
            <w:bottom w:w="0" w:type="dxa"/>
            <w:right w:w="0" w:type="dxa"/>
          </w:tblCellMar>
        </w:tblPrEx>
        <w:trPr>
          <w:trHeight w:val="741"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15.检查检验室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须配心电图机（带远程诊断功能</w:t>
            </w:r>
            <w:r>
              <w:rPr>
                <w:rFonts w:ascii="Times New Roman" w:hAnsi="Times New Roman" w:eastAsia="仿宋"/>
                <w:b w:val="0"/>
                <w:bCs w:val="0"/>
                <w:color w:val="000000" w:themeColor="text1"/>
                <w:spacing w:val="0"/>
                <w:kern w:val="0"/>
                <w:sz w:val="32"/>
                <w:szCs w:val="32"/>
                <w:lang w:eastAsia="zh-CN"/>
              </w:rPr>
              <w:t>，如壁挂式全科诊断仪具备此功能，则无需再配</w:t>
            </w:r>
            <w:r>
              <w:rPr>
                <w:rFonts w:ascii="Times New Roman" w:hAnsi="Times New Roman" w:eastAsia="仿宋"/>
                <w:b w:val="0"/>
                <w:bCs w:val="0"/>
                <w:color w:val="000000" w:themeColor="text1"/>
                <w:spacing w:val="0"/>
                <w:kern w:val="0"/>
                <w:sz w:val="32"/>
                <w:szCs w:val="32"/>
              </w:rPr>
              <w:t>）、血液分析仪、自动体外除颤仪（AED）、自动生化仪、尿液分析仪等1种以上检查检验设备。</w:t>
            </w:r>
          </w:p>
        </w:tc>
      </w:tr>
      <w:tr>
        <w:tblPrEx>
          <w:tblCellMar>
            <w:top w:w="0" w:type="dxa"/>
            <w:left w:w="0" w:type="dxa"/>
            <w:bottom w:w="0" w:type="dxa"/>
            <w:right w:w="0" w:type="dxa"/>
          </w:tblCellMar>
        </w:tblPrEx>
        <w:trPr>
          <w:trHeight w:val="557"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16.健康自检室</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配备相应健康自检设备。</w:t>
            </w:r>
          </w:p>
        </w:tc>
      </w:tr>
      <w:tr>
        <w:tblPrEx>
          <w:tblCellMar>
            <w:top w:w="0" w:type="dxa"/>
            <w:left w:w="0" w:type="dxa"/>
            <w:bottom w:w="0" w:type="dxa"/>
            <w:right w:w="0" w:type="dxa"/>
          </w:tblCellMar>
        </w:tblPrEx>
        <w:trPr>
          <w:trHeight w:val="610"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17.信息设施</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（1）开通宽带，配备至少2台电脑及必要的信息设备，设备硬件条件能满足日常信息化管理和远程医疗要求;</w:t>
            </w:r>
          </w:p>
        </w:tc>
      </w:tr>
      <w:tr>
        <w:tblPrEx>
          <w:tblCellMar>
            <w:top w:w="0" w:type="dxa"/>
            <w:left w:w="0" w:type="dxa"/>
            <w:bottom w:w="0" w:type="dxa"/>
            <w:right w:w="0" w:type="dxa"/>
          </w:tblCellMar>
        </w:tblPrEx>
        <w:trPr>
          <w:trHeight w:val="1030"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规范建立基本医疗服务、家庭医生签约服务、基本公共卫生服务、城乡居民基本医疗保险、基本药物制度、远程医疗、远程培训、绩效考核、慢病管理等信息系统，与区域卫生信息平台实现互联互通，信息共享;</w:t>
            </w:r>
          </w:p>
        </w:tc>
      </w:tr>
      <w:tr>
        <w:tblPrEx>
          <w:tblCellMar>
            <w:top w:w="0" w:type="dxa"/>
            <w:left w:w="0" w:type="dxa"/>
            <w:bottom w:w="0" w:type="dxa"/>
            <w:right w:w="0" w:type="dxa"/>
          </w:tblCellMar>
        </w:tblPrEx>
        <w:trPr>
          <w:trHeight w:val="480"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（3）配备一体机的要具备支持设备联网使用的网络环境。</w:t>
            </w:r>
          </w:p>
        </w:tc>
      </w:tr>
      <w:tr>
        <w:tblPrEx>
          <w:tblCellMar>
            <w:top w:w="0" w:type="dxa"/>
            <w:left w:w="0" w:type="dxa"/>
            <w:bottom w:w="0" w:type="dxa"/>
            <w:right w:w="0" w:type="dxa"/>
          </w:tblCellMar>
        </w:tblPrEx>
        <w:trPr>
          <w:trHeight w:val="395"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四、人员配备</w:t>
            </w:r>
          </w:p>
        </w:tc>
      </w:tr>
      <w:tr>
        <w:tblPrEx>
          <w:tblCellMar>
            <w:top w:w="0" w:type="dxa"/>
            <w:left w:w="0" w:type="dxa"/>
            <w:bottom w:w="0" w:type="dxa"/>
            <w:right w:w="0" w:type="dxa"/>
          </w:tblCellMar>
        </w:tblPrEx>
        <w:trPr>
          <w:trHeight w:val="625"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18.资质条件</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（1）以区（市）为单位，按照常住人口1-1.5‰配备乡村医生。样板村卫生室配备2名以上乡村医生，其中至少1名执业（助理）医师或乡村全科执业助理医师、1名能够提供中医药服务的乡村医生。</w:t>
            </w:r>
          </w:p>
        </w:tc>
      </w:tr>
      <w:tr>
        <w:tblPrEx>
          <w:tblCellMar>
            <w:top w:w="0" w:type="dxa"/>
            <w:left w:w="0" w:type="dxa"/>
            <w:bottom w:w="0" w:type="dxa"/>
            <w:right w:w="0" w:type="dxa"/>
          </w:tblCellMar>
        </w:tblPrEx>
        <w:trPr>
          <w:trHeight w:val="505" w:hRule="atLeast"/>
          <w:jc w:val="center"/>
        </w:trPr>
        <w:tc>
          <w:tcPr>
            <w:tcW w:w="1235" w:type="dxa"/>
            <w:vMerge w:val="continue"/>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（2）提供输液服务的卫生室，至少有1名医务人员具备预防和处理输液反应急救能力。</w:t>
            </w:r>
          </w:p>
        </w:tc>
      </w:tr>
      <w:tr>
        <w:tblPrEx>
          <w:tblCellMar>
            <w:top w:w="0" w:type="dxa"/>
            <w:left w:w="0" w:type="dxa"/>
            <w:bottom w:w="0" w:type="dxa"/>
            <w:right w:w="0" w:type="dxa"/>
          </w:tblCellMar>
        </w:tblPrEx>
        <w:trPr>
          <w:trHeight w:val="810" w:hRule="atLeast"/>
          <w:jc w:val="center"/>
        </w:trPr>
        <w:tc>
          <w:tcPr>
            <w:tcW w:w="1235" w:type="dxa"/>
            <w:vMerge w:val="restart"/>
            <w:tcBorders>
              <w:top w:val="single" w:color="000000" w:sz="4" w:space="0"/>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19.技能培训</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（1）严格执行乡村医生定期培训制度，定期参加上级组织的工作例会和各类培训，乡村医生两年一次考核合格;</w:t>
            </w:r>
          </w:p>
        </w:tc>
      </w:tr>
      <w:tr>
        <w:tblPrEx>
          <w:tblCellMar>
            <w:top w:w="0" w:type="dxa"/>
            <w:left w:w="0" w:type="dxa"/>
            <w:bottom w:w="0" w:type="dxa"/>
            <w:right w:w="0" w:type="dxa"/>
          </w:tblCellMar>
        </w:tblPrEx>
        <w:trPr>
          <w:trHeight w:val="595"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（2）通过自学、上级医师岗位指导、集中培训、网上远程教育等多种适宜方式参加继续教育培训，考试考核合格;</w:t>
            </w:r>
          </w:p>
        </w:tc>
      </w:tr>
      <w:tr>
        <w:tblPrEx>
          <w:tblCellMar>
            <w:top w:w="0" w:type="dxa"/>
            <w:left w:w="0" w:type="dxa"/>
            <w:bottom w:w="0" w:type="dxa"/>
            <w:right w:w="0" w:type="dxa"/>
          </w:tblCellMar>
        </w:tblPrEx>
        <w:trPr>
          <w:trHeight w:val="700"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（3）每3-5年到县级医疗卫生机构或有条件的卫生院脱产进修1次，进修时间原则上不少于1个月。</w:t>
            </w:r>
          </w:p>
        </w:tc>
      </w:tr>
      <w:tr>
        <w:tblPrEx>
          <w:tblCellMar>
            <w:top w:w="0" w:type="dxa"/>
            <w:left w:w="0" w:type="dxa"/>
            <w:bottom w:w="0" w:type="dxa"/>
            <w:right w:w="0" w:type="dxa"/>
          </w:tblCellMar>
        </w:tblPrEx>
        <w:trPr>
          <w:trHeight w:val="425"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五、服务功能</w:t>
            </w:r>
          </w:p>
        </w:tc>
      </w:tr>
      <w:tr>
        <w:tblPrEx>
          <w:tblCellMar>
            <w:top w:w="0" w:type="dxa"/>
            <w:left w:w="0" w:type="dxa"/>
            <w:bottom w:w="0" w:type="dxa"/>
            <w:right w:w="0" w:type="dxa"/>
          </w:tblCellMar>
        </w:tblPrEx>
        <w:trPr>
          <w:trHeight w:val="422"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20.基本功能</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（1）至少能够识别和初步诊治40种常见病、多发病;</w:t>
            </w:r>
          </w:p>
        </w:tc>
      </w:tr>
      <w:tr>
        <w:tblPrEx>
          <w:tblCellMar>
            <w:top w:w="0" w:type="dxa"/>
            <w:left w:w="0" w:type="dxa"/>
            <w:bottom w:w="0" w:type="dxa"/>
            <w:right w:w="0" w:type="dxa"/>
          </w:tblCellMar>
        </w:tblPrEx>
        <w:trPr>
          <w:trHeight w:val="565"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（2）开展静脉输液的需设置输液室（观察室），并建立静脉输液规范和安全管理制度;</w:t>
            </w:r>
          </w:p>
        </w:tc>
      </w:tr>
      <w:tr>
        <w:tblPrEx>
          <w:tblCellMar>
            <w:top w:w="0" w:type="dxa"/>
            <w:left w:w="0" w:type="dxa"/>
            <w:bottom w:w="0" w:type="dxa"/>
            <w:right w:w="0" w:type="dxa"/>
          </w:tblCellMar>
        </w:tblPrEx>
        <w:trPr>
          <w:trHeight w:val="548"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（3）能完成外科止血、清创、包扎、骨折固定、转运等处理;</w:t>
            </w:r>
          </w:p>
        </w:tc>
      </w:tr>
      <w:tr>
        <w:tblPrEx>
          <w:tblCellMar>
            <w:top w:w="0" w:type="dxa"/>
            <w:left w:w="0" w:type="dxa"/>
            <w:bottom w:w="0" w:type="dxa"/>
            <w:right w:w="0" w:type="dxa"/>
          </w:tblCellMar>
        </w:tblPrEx>
        <w:trPr>
          <w:trHeight w:val="473"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（4）急救箱、氧气瓶（袋）状况良好，医护人员能熟悉操作;</w:t>
            </w:r>
          </w:p>
        </w:tc>
      </w:tr>
      <w:tr>
        <w:tblPrEx>
          <w:tblCellMar>
            <w:top w:w="0" w:type="dxa"/>
            <w:left w:w="0" w:type="dxa"/>
            <w:bottom w:w="0" w:type="dxa"/>
            <w:right w:w="0" w:type="dxa"/>
          </w:tblCellMar>
        </w:tblPrEx>
        <w:trPr>
          <w:trHeight w:val="503"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（5）能实现收费、医保结算等一站式服务;配备远程医疗设施设备;</w:t>
            </w:r>
          </w:p>
        </w:tc>
      </w:tr>
      <w:tr>
        <w:tblPrEx>
          <w:tblCellMar>
            <w:top w:w="0" w:type="dxa"/>
            <w:left w:w="0" w:type="dxa"/>
            <w:bottom w:w="0" w:type="dxa"/>
            <w:right w:w="0" w:type="dxa"/>
          </w:tblCellMar>
        </w:tblPrEx>
        <w:trPr>
          <w:trHeight w:val="503"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（6）能开展远程医疗服务;</w:t>
            </w:r>
          </w:p>
        </w:tc>
      </w:tr>
      <w:tr>
        <w:tblPrEx>
          <w:tblCellMar>
            <w:top w:w="0" w:type="dxa"/>
            <w:left w:w="0" w:type="dxa"/>
            <w:bottom w:w="0" w:type="dxa"/>
            <w:right w:w="0" w:type="dxa"/>
          </w:tblCellMar>
        </w:tblPrEx>
        <w:trPr>
          <w:trHeight w:val="768"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（7）能够为辖区居民基本公共卫生和健康管理等服务，承担的基本公共卫生服务项目任务不低于国家标准;</w:t>
            </w:r>
          </w:p>
        </w:tc>
      </w:tr>
      <w:tr>
        <w:tblPrEx>
          <w:tblCellMar>
            <w:top w:w="0" w:type="dxa"/>
            <w:left w:w="0" w:type="dxa"/>
            <w:bottom w:w="0" w:type="dxa"/>
            <w:right w:w="0" w:type="dxa"/>
          </w:tblCellMar>
        </w:tblPrEx>
        <w:trPr>
          <w:trHeight w:val="535"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（8）对设置的村卫生室服务点定期巡诊。</w:t>
            </w:r>
          </w:p>
        </w:tc>
      </w:tr>
      <w:tr>
        <w:tblPrEx>
          <w:tblCellMar>
            <w:top w:w="0" w:type="dxa"/>
            <w:left w:w="0" w:type="dxa"/>
            <w:bottom w:w="0" w:type="dxa"/>
            <w:right w:w="0" w:type="dxa"/>
          </w:tblCellMar>
        </w:tblPrEx>
        <w:trPr>
          <w:trHeight w:val="32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21.签约服务</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参与家庭医生签约服务，按照服务协议履约。</w:t>
            </w:r>
          </w:p>
        </w:tc>
      </w:tr>
      <w:tr>
        <w:tblPrEx>
          <w:tblCellMar>
            <w:top w:w="0" w:type="dxa"/>
            <w:left w:w="0" w:type="dxa"/>
            <w:bottom w:w="0" w:type="dxa"/>
            <w:right w:w="0" w:type="dxa"/>
          </w:tblCellMar>
        </w:tblPrEx>
        <w:trPr>
          <w:trHeight w:val="480"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22.药事服务</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（1）执行基本药物制度，实行药品零差率销售;</w:t>
            </w:r>
          </w:p>
        </w:tc>
      </w:tr>
      <w:tr>
        <w:tblPrEx>
          <w:tblCellMar>
            <w:top w:w="0" w:type="dxa"/>
            <w:left w:w="0" w:type="dxa"/>
            <w:bottom w:w="0" w:type="dxa"/>
            <w:right w:w="0" w:type="dxa"/>
          </w:tblCellMar>
        </w:tblPrEx>
        <w:trPr>
          <w:trHeight w:val="397"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（2）药品种类满足居民就诊需要。</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23.检查检验服务</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开展心电图、血常规、尿常规等项目中的1种以上即时检查检验服务。</w:t>
            </w:r>
          </w:p>
        </w:tc>
      </w:tr>
      <w:tr>
        <w:tblPrEx>
          <w:tblCellMar>
            <w:top w:w="0" w:type="dxa"/>
            <w:left w:w="0" w:type="dxa"/>
            <w:bottom w:w="0" w:type="dxa"/>
            <w:right w:w="0" w:type="dxa"/>
          </w:tblCellMar>
        </w:tblPrEx>
        <w:trPr>
          <w:trHeight w:val="644"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24.出诊服务</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（1）根据居民需求，协助镇卫生院（社区卫生服务中心）或医共体牵头单位提供出诊服务，并符合出诊服务规范;</w:t>
            </w:r>
          </w:p>
        </w:tc>
      </w:tr>
      <w:tr>
        <w:tblPrEx>
          <w:tblCellMar>
            <w:top w:w="0" w:type="dxa"/>
            <w:left w:w="0" w:type="dxa"/>
            <w:bottom w:w="0" w:type="dxa"/>
            <w:right w:w="0" w:type="dxa"/>
          </w:tblCellMar>
        </w:tblPrEx>
        <w:trPr>
          <w:trHeight w:val="446"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（2）承担上级医疗机构或医共体牵头单位下转恢复期病人出院回访;</w:t>
            </w:r>
          </w:p>
        </w:tc>
      </w:tr>
      <w:tr>
        <w:tblPrEx>
          <w:tblCellMar>
            <w:top w:w="0" w:type="dxa"/>
            <w:left w:w="0" w:type="dxa"/>
            <w:bottom w:w="0" w:type="dxa"/>
            <w:right w:w="0" w:type="dxa"/>
          </w:tblCellMar>
        </w:tblPrEx>
        <w:trPr>
          <w:trHeight w:val="601"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（3）在上级医院或医共体牵头单位的指导下，协助卫生院为建立家庭病床的签约居民提供巡诊、巡视等服务。</w:t>
            </w:r>
          </w:p>
        </w:tc>
      </w:tr>
      <w:tr>
        <w:tblPrEx>
          <w:tblCellMar>
            <w:top w:w="0" w:type="dxa"/>
            <w:left w:w="0" w:type="dxa"/>
            <w:bottom w:w="0" w:type="dxa"/>
            <w:right w:w="0" w:type="dxa"/>
          </w:tblCellMar>
        </w:tblPrEx>
        <w:trPr>
          <w:trHeight w:val="572"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25.康复、养老</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有条件的可探索与村级养老服务、残疾人康复等机构融合发展。</w:t>
            </w:r>
          </w:p>
        </w:tc>
      </w:tr>
      <w:tr>
        <w:tblPrEx>
          <w:tblCellMar>
            <w:top w:w="0" w:type="dxa"/>
            <w:left w:w="0" w:type="dxa"/>
            <w:bottom w:w="0" w:type="dxa"/>
            <w:right w:w="0" w:type="dxa"/>
          </w:tblCellMar>
        </w:tblPrEx>
        <w:trPr>
          <w:trHeight w:val="380"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六、业务管理</w:t>
            </w:r>
          </w:p>
        </w:tc>
      </w:tr>
      <w:tr>
        <w:tblPrEx>
          <w:tblCellMar>
            <w:top w:w="0" w:type="dxa"/>
            <w:left w:w="0" w:type="dxa"/>
            <w:bottom w:w="0" w:type="dxa"/>
            <w:right w:w="0" w:type="dxa"/>
          </w:tblCellMar>
        </w:tblPrEx>
        <w:trPr>
          <w:trHeight w:val="128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26.制度健全</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全面实施6S管理。建立健全医疗质量管理、医疗安全、人员岗位责任、定期在岗培训、门诊登记、法定传染病疫情报告、食源性疾病或疑似病例信息报告、医疗废物管理、医源性感染管理、免疫规划工作管理、严重精神障碍患者服务管理、妇幼保健工作管理以及财务、药品、档案、信息管理等有关规章制度。</w:t>
            </w:r>
          </w:p>
        </w:tc>
      </w:tr>
      <w:tr>
        <w:tblPrEx>
          <w:tblCellMar>
            <w:top w:w="0" w:type="dxa"/>
            <w:left w:w="0" w:type="dxa"/>
            <w:bottom w:w="0" w:type="dxa"/>
            <w:right w:w="0" w:type="dxa"/>
          </w:tblCellMar>
        </w:tblPrEx>
        <w:trPr>
          <w:trHeight w:val="618" w:hRule="atLeast"/>
          <w:jc w:val="center"/>
        </w:trPr>
        <w:tc>
          <w:tcPr>
            <w:tcW w:w="1235"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27.业务管理与质量控制</w:t>
            </w: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（1）严格执行诊疗规范、操作规程等技术规范，加强医疗质量与安全管理，完善日常诊疗与诊间随访、诊间签约服务的有效衔接;</w:t>
            </w:r>
          </w:p>
        </w:tc>
      </w:tr>
      <w:tr>
        <w:tblPrEx>
          <w:tblCellMar>
            <w:top w:w="0" w:type="dxa"/>
            <w:left w:w="0" w:type="dxa"/>
            <w:bottom w:w="0" w:type="dxa"/>
            <w:right w:w="0" w:type="dxa"/>
          </w:tblCellMar>
        </w:tblPrEx>
        <w:trPr>
          <w:trHeight w:val="607" w:hRule="atLeast"/>
          <w:jc w:val="center"/>
        </w:trPr>
        <w:tc>
          <w:tcPr>
            <w:tcW w:w="1235" w:type="dxa"/>
            <w:vMerge w:val="continue"/>
            <w:tcBorders>
              <w:top w:val="nil"/>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（2）建立远端穿戴设备与基本公共卫生服务信息系统互联互通，充分利用信息化协助村民做好预约诊疗、转诊、远程医疗等工作。</w:t>
            </w:r>
          </w:p>
        </w:tc>
      </w:tr>
      <w:tr>
        <w:tblPrEx>
          <w:tblCellMar>
            <w:top w:w="0" w:type="dxa"/>
            <w:left w:w="0" w:type="dxa"/>
            <w:bottom w:w="0" w:type="dxa"/>
            <w:right w:w="0" w:type="dxa"/>
          </w:tblCellMar>
        </w:tblPrEx>
        <w:trPr>
          <w:trHeight w:val="526" w:hRule="atLeast"/>
          <w:jc w:val="center"/>
        </w:trPr>
        <w:tc>
          <w:tcPr>
            <w:tcW w:w="1235" w:type="dxa"/>
            <w:vMerge w:val="restart"/>
            <w:tcBorders>
              <w:top w:val="single" w:color="000000" w:sz="4" w:space="0"/>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28.科普宣传</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（1）在醒目处张贴农药中毒、心肺复苏和药物过敏反应等常见的急诊急救操作规程;</w:t>
            </w:r>
          </w:p>
        </w:tc>
      </w:tr>
      <w:tr>
        <w:tblPrEx>
          <w:tblCellMar>
            <w:top w:w="0" w:type="dxa"/>
            <w:left w:w="0" w:type="dxa"/>
            <w:bottom w:w="0" w:type="dxa"/>
            <w:right w:w="0" w:type="dxa"/>
          </w:tblCellMar>
        </w:tblPrEx>
        <w:trPr>
          <w:trHeight w:val="324"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（2）在恰当位置摆放健康教育宣传资料，张贴统一、规范的健康教育宣传挂图;</w:t>
            </w:r>
          </w:p>
        </w:tc>
      </w:tr>
      <w:tr>
        <w:tblPrEx>
          <w:tblCellMar>
            <w:top w:w="0" w:type="dxa"/>
            <w:left w:w="0" w:type="dxa"/>
            <w:bottom w:w="0" w:type="dxa"/>
            <w:right w:w="0" w:type="dxa"/>
          </w:tblCellMar>
        </w:tblPrEx>
        <w:trPr>
          <w:trHeight w:val="382"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（3）可在候诊区、观察室等处安装电视，播放健康教育视频等。</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29.服务公开</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机构、人员信息、医疗服务和药品收费项目及价格公开上墙，收费有单据，账目有记录，支出有凭证。</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30.医疗废物等处置</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严格执行《医疗废物管理条例》相关规定，医疗废物等按照规范要求进行统一收集、贮存、运送，实现集中无害化处置。</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31.业务指标</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lang w:eastAsia="zh-CN"/>
              </w:rPr>
            </w:pPr>
            <w:r>
              <w:rPr>
                <w:rFonts w:ascii="Times New Roman" w:hAnsi="Times New Roman" w:eastAsia="仿宋"/>
                <w:b w:val="0"/>
                <w:bCs w:val="0"/>
                <w:color w:val="000000" w:themeColor="text1"/>
                <w:spacing w:val="0"/>
                <w:kern w:val="0"/>
                <w:sz w:val="32"/>
                <w:szCs w:val="32"/>
                <w:lang w:eastAsia="zh-CN"/>
              </w:rPr>
              <w:t>诊疗人次</w:t>
            </w:r>
            <w:r>
              <w:rPr>
                <w:rFonts w:ascii="Times New Roman" w:hAnsi="Times New Roman" w:eastAsia="仿宋"/>
                <w:b w:val="0"/>
                <w:bCs w:val="0"/>
                <w:color w:val="000000" w:themeColor="text1"/>
                <w:spacing w:val="0"/>
                <w:kern w:val="0"/>
                <w:sz w:val="32"/>
                <w:szCs w:val="32"/>
                <w:lang w:val="en-US" w:eastAsia="zh-CN"/>
              </w:rPr>
              <w:t>/服务人口</w:t>
            </w:r>
            <w:r>
              <w:rPr>
                <w:rFonts w:ascii="Times New Roman" w:hAnsi="Times New Roman" w:eastAsia="仿宋"/>
                <w:b w:val="0"/>
                <w:bCs w:val="0"/>
                <w:color w:val="000000" w:themeColor="text1"/>
                <w:spacing w:val="0"/>
                <w:kern w:val="0"/>
                <w:sz w:val="32"/>
                <w:szCs w:val="32"/>
              </w:rPr>
              <w:t>≥</w:t>
            </w:r>
            <w:r>
              <w:rPr>
                <w:rFonts w:ascii="Times New Roman" w:hAnsi="Times New Roman" w:eastAsia="仿宋"/>
                <w:b w:val="0"/>
                <w:bCs w:val="0"/>
                <w:color w:val="000000" w:themeColor="text1"/>
                <w:spacing w:val="0"/>
                <w:kern w:val="0"/>
                <w:sz w:val="32"/>
                <w:szCs w:val="32"/>
                <w:lang w:val="en-US" w:eastAsia="zh-CN"/>
              </w:rPr>
              <w:t>3，</w:t>
            </w:r>
            <w:r>
              <w:rPr>
                <w:rFonts w:ascii="Times New Roman" w:hAnsi="Times New Roman" w:eastAsia="仿宋"/>
                <w:b w:val="0"/>
                <w:bCs w:val="0"/>
                <w:color w:val="000000" w:themeColor="text1"/>
                <w:spacing w:val="0"/>
                <w:kern w:val="0"/>
                <w:sz w:val="32"/>
                <w:szCs w:val="32"/>
              </w:rPr>
              <w:t>输液率≤25%，抗菌药物处方比例≤</w:t>
            </w:r>
            <w:r>
              <w:rPr>
                <w:rFonts w:ascii="Times New Roman" w:hAnsi="Times New Roman" w:eastAsia="仿宋"/>
                <w:b w:val="0"/>
                <w:bCs w:val="0"/>
                <w:color w:val="000000" w:themeColor="text1"/>
                <w:spacing w:val="0"/>
                <w:kern w:val="0"/>
                <w:sz w:val="32"/>
                <w:szCs w:val="32"/>
                <w:lang w:val="en-US" w:eastAsia="zh-CN"/>
              </w:rPr>
              <w:t>20%</w:t>
            </w:r>
            <w:r>
              <w:rPr>
                <w:rFonts w:ascii="Times New Roman" w:hAnsi="Times New Roman" w:eastAsia="仿宋"/>
                <w:b w:val="0"/>
                <w:bCs w:val="0"/>
                <w:color w:val="000000" w:themeColor="text1"/>
                <w:spacing w:val="0"/>
                <w:kern w:val="0"/>
                <w:sz w:val="32"/>
                <w:szCs w:val="32"/>
              </w:rPr>
              <w:t>，处方合格率≥9</w:t>
            </w:r>
            <w:r>
              <w:rPr>
                <w:rFonts w:ascii="Times New Roman" w:hAnsi="Times New Roman" w:eastAsia="仿宋"/>
                <w:b w:val="0"/>
                <w:bCs w:val="0"/>
                <w:color w:val="000000" w:themeColor="text1"/>
                <w:spacing w:val="0"/>
                <w:kern w:val="0"/>
                <w:sz w:val="32"/>
                <w:szCs w:val="32"/>
                <w:lang w:val="en-US" w:eastAsia="zh-CN"/>
              </w:rPr>
              <w:t>8</w:t>
            </w:r>
            <w:r>
              <w:rPr>
                <w:rFonts w:ascii="Times New Roman" w:hAnsi="Times New Roman" w:eastAsia="仿宋"/>
                <w:b w:val="0"/>
                <w:bCs w:val="0"/>
                <w:color w:val="000000" w:themeColor="text1"/>
                <w:spacing w:val="0"/>
                <w:kern w:val="0"/>
                <w:sz w:val="32"/>
                <w:szCs w:val="32"/>
              </w:rPr>
              <w:t>%，中医药处方比例≥2</w:t>
            </w:r>
            <w:r>
              <w:rPr>
                <w:rFonts w:ascii="Times New Roman" w:hAnsi="Times New Roman" w:eastAsia="仿宋"/>
                <w:b w:val="0"/>
                <w:bCs w:val="0"/>
                <w:color w:val="000000" w:themeColor="text1"/>
                <w:spacing w:val="0"/>
                <w:kern w:val="0"/>
                <w:sz w:val="32"/>
                <w:szCs w:val="32"/>
                <w:lang w:val="en-US" w:eastAsia="zh-CN"/>
              </w:rPr>
              <w:t>5</w:t>
            </w:r>
            <w:r>
              <w:rPr>
                <w:rFonts w:ascii="Times New Roman" w:hAnsi="Times New Roman" w:eastAsia="仿宋"/>
                <w:b w:val="0"/>
                <w:bCs w:val="0"/>
                <w:color w:val="000000" w:themeColor="text1"/>
                <w:spacing w:val="0"/>
                <w:kern w:val="0"/>
                <w:sz w:val="32"/>
                <w:szCs w:val="32"/>
              </w:rPr>
              <w:t>%，规范使用“智医助理”系统。</w:t>
            </w:r>
          </w:p>
        </w:tc>
      </w:tr>
      <w:tr>
        <w:tblPrEx>
          <w:tblCellMar>
            <w:top w:w="0" w:type="dxa"/>
            <w:left w:w="0" w:type="dxa"/>
            <w:bottom w:w="0" w:type="dxa"/>
            <w:right w:w="0" w:type="dxa"/>
          </w:tblCellMar>
        </w:tblPrEx>
        <w:trPr>
          <w:trHeight w:val="47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32.公卫达标情况</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基本公共卫生服务项目完成情况达到规定要求。</w:t>
            </w:r>
          </w:p>
        </w:tc>
      </w:tr>
      <w:tr>
        <w:tblPrEx>
          <w:tblCellMar>
            <w:top w:w="0" w:type="dxa"/>
            <w:left w:w="0" w:type="dxa"/>
            <w:bottom w:w="0" w:type="dxa"/>
            <w:right w:w="0" w:type="dxa"/>
          </w:tblCellMar>
        </w:tblPrEx>
        <w:trPr>
          <w:trHeight w:val="380"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七、运行机制</w:t>
            </w:r>
          </w:p>
        </w:tc>
      </w:tr>
      <w:tr>
        <w:tblPrEx>
          <w:tblCellMar>
            <w:top w:w="0" w:type="dxa"/>
            <w:left w:w="0" w:type="dxa"/>
            <w:bottom w:w="0" w:type="dxa"/>
            <w:right w:w="0" w:type="dxa"/>
          </w:tblCellMar>
        </w:tblPrEx>
        <w:trPr>
          <w:trHeight w:val="805" w:hRule="atLeast"/>
          <w:jc w:val="center"/>
        </w:trPr>
        <w:tc>
          <w:tcPr>
            <w:tcW w:w="1235" w:type="dxa"/>
            <w:vMerge w:val="restart"/>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33.聘管考核</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（1）实行乡村一体化管理，与镇卫生院（社区卫生服务中心）同一法人，实现行政、业务、人员、药械、财务、绩效考核“六统一”为主要内容的乡村一体化管理模式;</w:t>
            </w:r>
          </w:p>
        </w:tc>
      </w:tr>
      <w:tr>
        <w:tblPrEx>
          <w:tblCellMar>
            <w:top w:w="0" w:type="dxa"/>
            <w:left w:w="0" w:type="dxa"/>
            <w:bottom w:w="0" w:type="dxa"/>
            <w:right w:w="0" w:type="dxa"/>
          </w:tblCellMar>
        </w:tblPrEx>
        <w:trPr>
          <w:trHeight w:val="605" w:hRule="atLeast"/>
          <w:jc w:val="center"/>
        </w:trPr>
        <w:tc>
          <w:tcPr>
            <w:tcW w:w="1235" w:type="dxa"/>
            <w:vMerge w:val="continue"/>
            <w:tcBorders>
              <w:top w:val="nil"/>
              <w:left w:val="single" w:color="000000" w:sz="4" w:space="0"/>
              <w:bottom w:val="nil"/>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（2）村卫生室人员由镇卫生院（社区卫生服务中心）聘任，工资待遇不低于同等条件人员的平均水平，并对在村卫生室工作的执业（助理）医师给予倾斜。</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34.采购配发</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药品、医疗器械、医用耗材、办公用品等由镇卫生院（社区卫生服务中心）统一采购配发，统一票据和处方笺。</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35.医保结算</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开通医保联网结算，有效落实一般诊疗费政策，严格执行居民医保政策，实现网络即时结报。</w:t>
            </w:r>
          </w:p>
        </w:tc>
      </w:tr>
      <w:tr>
        <w:tblPrEx>
          <w:tblCellMar>
            <w:top w:w="0" w:type="dxa"/>
            <w:left w:w="0" w:type="dxa"/>
            <w:bottom w:w="0" w:type="dxa"/>
            <w:right w:w="0" w:type="dxa"/>
          </w:tblCellMar>
        </w:tblPrEx>
        <w:trPr>
          <w:trHeight w:val="395" w:hRule="atLeast"/>
          <w:jc w:val="center"/>
        </w:trPr>
        <w:tc>
          <w:tcPr>
            <w:tcW w:w="8987" w:type="dxa"/>
            <w:gridSpan w:val="2"/>
            <w:tcBorders>
              <w:top w:val="single" w:color="000000" w:sz="4" w:space="0"/>
              <w:left w:val="single" w:color="000000" w:sz="4" w:space="0"/>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八、服务绩效</w:t>
            </w:r>
          </w:p>
        </w:tc>
      </w:tr>
      <w:tr>
        <w:tblPrEx>
          <w:tblCellMar>
            <w:top w:w="0" w:type="dxa"/>
            <w:left w:w="0" w:type="dxa"/>
            <w:bottom w:w="0" w:type="dxa"/>
            <w:right w:w="0" w:type="dxa"/>
          </w:tblCellMar>
        </w:tblPrEx>
        <w:trPr>
          <w:trHeight w:val="600"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36.医疗责任</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近三年无负主要责任（或60%以上过错参与度）的医疗事故或医疗纠纷发生，无超范围执业、违反医保管理制度等行为。</w:t>
            </w:r>
          </w:p>
        </w:tc>
      </w:tr>
      <w:tr>
        <w:tblPrEx>
          <w:tblCellMar>
            <w:top w:w="0" w:type="dxa"/>
            <w:left w:w="0" w:type="dxa"/>
            <w:bottom w:w="0" w:type="dxa"/>
            <w:right w:w="0" w:type="dxa"/>
          </w:tblCellMar>
        </w:tblPrEx>
        <w:trPr>
          <w:trHeight w:val="434" w:hRule="atLeast"/>
          <w:jc w:val="center"/>
        </w:trPr>
        <w:tc>
          <w:tcPr>
            <w:tcW w:w="123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37.居民满意度</w:t>
            </w:r>
          </w:p>
        </w:tc>
        <w:tc>
          <w:tcPr>
            <w:tcW w:w="7752" w:type="dxa"/>
            <w:tcBorders>
              <w:top w:val="single" w:color="000000" w:sz="4" w:space="0"/>
              <w:left w:val="nil"/>
              <w:bottom w:val="single" w:color="000000" w:sz="4" w:space="0"/>
              <w:right w:val="single" w:color="000000" w:sz="4" w:space="0"/>
            </w:tcBorders>
            <w:tcMar>
              <w:left w:w="85" w:type="dxa"/>
              <w:right w:w="85" w:type="dxa"/>
            </w:tcMar>
            <w:vAlign w:val="center"/>
          </w:tcPr>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本村居民满意度≥90%。</w:t>
            </w:r>
          </w:p>
        </w:tc>
      </w:tr>
    </w:tbl>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p>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hint="eastAsia" w:ascii="Times New Roman" w:hAnsi="Times New Roman" w:eastAsia="仿宋"/>
          <w:b w:val="0"/>
          <w:bCs w:val="0"/>
          <w:color w:val="000000" w:themeColor="text1"/>
          <w:spacing w:val="0"/>
          <w:sz w:val="32"/>
          <w:szCs w:val="32"/>
          <w:lang w:val="en-US" w:eastAsia="zh-CN"/>
        </w:rPr>
      </w:pPr>
      <w:r>
        <w:rPr>
          <w:rFonts w:ascii="Times New Roman" w:hAnsi="Times New Roman" w:eastAsia="仿宋"/>
          <w:b w:val="0"/>
          <w:bCs w:val="0"/>
          <w:color w:val="000000" w:themeColor="text1"/>
          <w:spacing w:val="0"/>
          <w:sz w:val="32"/>
          <w:szCs w:val="32"/>
        </w:rPr>
        <w:t>附件</w:t>
      </w:r>
      <w:r>
        <w:rPr>
          <w:rFonts w:hint="eastAsia" w:ascii="Times New Roman" w:hAnsi="Times New Roman" w:eastAsia="仿宋"/>
          <w:b w:val="0"/>
          <w:bCs w:val="0"/>
          <w:color w:val="000000" w:themeColor="text1"/>
          <w:spacing w:val="0"/>
          <w:sz w:val="32"/>
          <w:szCs w:val="32"/>
          <w:lang w:val="en-US" w:eastAsia="zh-CN"/>
        </w:rPr>
        <w:t>2</w:t>
      </w:r>
      <w:bookmarkStart w:id="0" w:name="_GoBack"/>
      <w:bookmarkEnd w:id="0"/>
    </w:p>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outlineLvl w:val="0"/>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枣庄市样板村卫生室中医阁建设标准</w:t>
      </w:r>
    </w:p>
    <w:tbl>
      <w:tblPr>
        <w:tblStyle w:val="15"/>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6"/>
        <w:gridCol w:w="7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一、中医阁设置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1.建筑面积</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中医阁独立设置，布局合理，体现中医药特色，满足保护患者隐私、无障碍设计要求，使用面积不低于20平方米。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2.诊室设置</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至少设有1个中医诊室和1个中医治疗室。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3.规范标识</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在醒目位置悬挂“中医阁”标识</w:t>
            </w:r>
            <w:r>
              <w:rPr>
                <w:rFonts w:ascii="Times New Roman" w:hAnsi="Times New Roman" w:eastAsia="仿宋"/>
                <w:b w:val="0"/>
                <w:bCs w:val="0"/>
                <w:color w:val="000000" w:themeColor="text1"/>
                <w:spacing w:val="0"/>
                <w:kern w:val="0"/>
                <w:sz w:val="32"/>
                <w:szCs w:val="3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二、中药房设置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4.中药饮片</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中药饮片品种数不少于80种，或与镇卫生院（社区卫生服务中心）等签订中药饮片调剂代煎配送协议。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5.中成药</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配备中成药品种不少于30种。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三、人员配置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6.人员配置</w:t>
            </w:r>
          </w:p>
        </w:tc>
        <w:tc>
          <w:tcPr>
            <w:tcW w:w="7665" w:type="dxa"/>
            <w:vAlign w:val="top"/>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村卫生室至少配备1名中医类别医师或以中医药服务为主的乡村医生。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四、设备配置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7.设备配置</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康复诊疗床，TDP治疗仪，针灸、刮痧、拔罐、推拿、敷熨熏浴、骨伤牵引等中医诊疗和康复设备不少于5种。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五、中医医疗服务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8.服务范围</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能够提供中药饮片和4类6项以上中医药适宜技术服务。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9.诊疗人次占比</w:t>
            </w:r>
          </w:p>
        </w:tc>
        <w:tc>
          <w:tcPr>
            <w:tcW w:w="7665" w:type="dxa"/>
            <w:vAlign w:val="top"/>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中医诊疗人次数占本机构总诊疗人次数的比例不低于20%,中医处方(含中药饮片、中成药)数占本机构处方总数的比例不低于20%。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10.中药处方占比</w:t>
            </w:r>
          </w:p>
        </w:tc>
        <w:tc>
          <w:tcPr>
            <w:tcW w:w="7665" w:type="dxa"/>
            <w:vAlign w:val="top"/>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中药饮片处方数占本机构处方总数的比例不低于3%或中医非药物疗法治疗人次数占本机构总诊疗人次数的比例不低于5%。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jc w:val="center"/>
        </w:trPr>
        <w:tc>
          <w:tcPr>
            <w:tcW w:w="9241" w:type="dxa"/>
            <w:gridSpan w:val="2"/>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center"/>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六、其他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11.健康管理</w:t>
            </w:r>
          </w:p>
        </w:tc>
        <w:tc>
          <w:tcPr>
            <w:tcW w:w="7665" w:type="dxa"/>
            <w:vAlign w:val="top"/>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按照国家基本公共卫生服务的要求，开展中医药健康管理服务，对重点人群实施2种以上中医药健康管理，目标人群覆盖率不低于国家基本要求。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12.科普宣教</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每年开展不少于4场（次）的中医药科普宣教活动，宣传资料中应有40%以上的中医药宣传资料内容（不少于10种），提供中医药宣教处方（不少于10种）。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13.文化建设</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设置中医药文化宣传橱窗（不少于1.5平方米）、中医药文化墙（不少于3平方米）。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576"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jc w:val="left"/>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14.信息化建设</w:t>
            </w:r>
          </w:p>
        </w:tc>
        <w:tc>
          <w:tcPr>
            <w:tcW w:w="7665" w:type="dxa"/>
            <w:vAlign w:val="center"/>
          </w:tcPr>
          <w:p>
            <w:pPr>
              <w:keepNext w:val="0"/>
              <w:keepLines w:val="0"/>
              <w:pageBreakBefore w:val="0"/>
              <w:widowControl w:val="0"/>
              <w:kinsoku/>
              <w:wordWrap/>
              <w:overflowPunct w:val="0"/>
              <w:topLinePunct w:val="0"/>
              <w:autoSpaceDE/>
              <w:autoSpaceDN/>
              <w:bidi w:val="0"/>
              <w:adjustRightInd/>
              <w:snapToGrid w:val="0"/>
              <w:spacing w:line="600" w:lineRule="exact"/>
              <w:ind w:left="0" w:leftChars="0"/>
              <w:textAlignment w:val="auto"/>
              <w:rPr>
                <w:rFonts w:ascii="Times New Roman" w:hAnsi="Times New Roman" w:eastAsia="仿宋"/>
                <w:b w:val="0"/>
                <w:bCs w:val="0"/>
                <w:color w:val="000000" w:themeColor="text1"/>
                <w:spacing w:val="0"/>
                <w:kern w:val="0"/>
                <w:sz w:val="32"/>
                <w:szCs w:val="32"/>
              </w:rPr>
            </w:pPr>
            <w:r>
              <w:rPr>
                <w:rFonts w:ascii="Times New Roman" w:hAnsi="Times New Roman" w:eastAsia="仿宋"/>
                <w:b w:val="0"/>
                <w:bCs w:val="0"/>
                <w:color w:val="000000" w:themeColor="text1"/>
                <w:spacing w:val="0"/>
                <w:kern w:val="0"/>
                <w:sz w:val="32"/>
                <w:szCs w:val="32"/>
              </w:rPr>
              <w:t>加强信息化建设，借助互联网技术提高中医药服务效率和质量。</w:t>
            </w:r>
          </w:p>
        </w:tc>
      </w:tr>
    </w:tbl>
    <w:p>
      <w:pPr>
        <w:keepNext w:val="0"/>
        <w:keepLines w:val="0"/>
        <w:pageBreakBefore w:val="0"/>
        <w:widowControl w:val="0"/>
        <w:kinsoku/>
        <w:wordWrap/>
        <w:overflowPunct w:val="0"/>
        <w:topLinePunct w:val="0"/>
        <w:autoSpaceDE/>
        <w:autoSpaceDN/>
        <w:bidi w:val="0"/>
        <w:adjustRightInd/>
        <w:spacing w:line="600" w:lineRule="exact"/>
        <w:ind w:left="0" w:leftChars="0"/>
        <w:textAlignment w:val="auto"/>
        <w:rPr>
          <w:rFonts w:ascii="Times New Roman" w:hAnsi="Times New Roman" w:eastAsia="仿宋"/>
          <w:b w:val="0"/>
          <w:bCs w:val="0"/>
          <w:color w:val="000000" w:themeColor="text1"/>
          <w:spacing w:val="0"/>
          <w:sz w:val="32"/>
          <w:szCs w:val="32"/>
        </w:rPr>
      </w:pPr>
      <w:r>
        <w:rPr>
          <w:rFonts w:ascii="Times New Roman" w:hAnsi="Times New Roman" w:eastAsia="仿宋"/>
          <w:b w:val="0"/>
          <w:bCs w:val="0"/>
          <w:color w:val="000000" w:themeColor="text1"/>
          <w:spacing w:val="0"/>
          <w:sz w:val="32"/>
          <w:szCs w:val="32"/>
        </w:rPr>
        <w:t xml:space="preserve"> </w:t>
      </w:r>
    </w:p>
    <w:sectPr>
      <w:footerReference r:id="rId3" w:type="default"/>
      <w:footerReference r:id="rId4" w:type="even"/>
      <w:pgSz w:w="11906" w:h="16838"/>
      <w:pgMar w:top="1701" w:right="1701" w:bottom="1701" w:left="1701" w:header="851" w:footer="1871" w:gutter="0"/>
      <w:pgNumType w:fmt="decimal"/>
      <w:cols w:space="720" w:num="1"/>
      <w:docGrid w:type="linesAndChars" w:linePitch="289"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ind w:right="360" w:firstLine="360"/>
      <w:rPr>
        <w:sz w:val="18"/>
      </w:rPr>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tabs>
        <w:tab w:val="clear" w:pos="4153"/>
        <w:tab w:val="clear" w:pos="8306"/>
      </w:tabs>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pPr>
      <w:pStyle w:val="12"/>
      <w:tabs>
        <w:tab w:val="clear" w:pos="4153"/>
        <w:tab w:val="clear" w:pos="8306"/>
      </w:tabs>
      <w:ind w:right="360" w:firstLine="360"/>
    </w:pPr>
    <w: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_x0000_s205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2"/>
                            <w:tabs>
                              <w:tab w:val="clear" w:pos="4153"/>
                              <w:tab w:val="clear" w:pos="8306"/>
                            </w:tabs>
                            <w:rPr>
                              <w:rFonts w:hint="eastAsia" w:ascii="宋体" w:hAnsi="宋体"/>
                              <w:sz w:val="32"/>
                              <w:szCs w:val="32"/>
                            </w:rPr>
                          </w:pPr>
                          <w:r>
                            <w:rPr>
                              <w:rFonts w:hint="eastAsia" w:ascii="宋体" w:hAnsi="宋体"/>
                              <w:sz w:val="32"/>
                              <w:szCs w:val="32"/>
                            </w:rPr>
                            <w:t xml:space="preserve">— </w:t>
                          </w:r>
                          <w:r>
                            <w:rPr>
                              <w:rFonts w:hint="eastAsia" w:ascii="宋体" w:hAnsi="宋体"/>
                              <w:sz w:val="32"/>
                              <w:szCs w:val="32"/>
                            </w:rPr>
                            <w:fldChar w:fldCharType="begin"/>
                          </w:r>
                          <w:r>
                            <w:rPr>
                              <w:rFonts w:hint="eastAsia" w:ascii="宋体" w:hAnsi="宋体"/>
                              <w:sz w:val="32"/>
                              <w:szCs w:val="32"/>
                            </w:rPr>
                            <w:instrText xml:space="preserve"> PAGE  \* MERGEFORMAT </w:instrText>
                          </w:r>
                          <w:r>
                            <w:rPr>
                              <w:rFonts w:hint="eastAsia" w:ascii="宋体" w:hAnsi="宋体"/>
                              <w:sz w:val="32"/>
                              <w:szCs w:val="32"/>
                            </w:rPr>
                            <w:fldChar w:fldCharType="separate"/>
                          </w:r>
                          <w:r>
                            <w:rPr>
                              <w:rFonts w:ascii="宋体" w:hAnsi="宋体"/>
                              <w:sz w:val="32"/>
                              <w:szCs w:val="32"/>
                            </w:rPr>
                            <w:t>2</w:t>
                          </w:r>
                          <w:r>
                            <w:rPr>
                              <w:rFonts w:hint="eastAsia" w:ascii="宋体" w:hAnsi="宋体"/>
                              <w:sz w:val="32"/>
                              <w:szCs w:val="32"/>
                            </w:rPr>
                            <w:fldChar w:fldCharType="end"/>
                          </w:r>
                          <w:r>
                            <w:rPr>
                              <w:rFonts w:hint="eastAsia" w:ascii="宋体" w:hAnsi="宋体"/>
                              <w:sz w:val="32"/>
                              <w:szCs w:val="32"/>
                            </w:rPr>
                            <w:t xml:space="preserve"> —</w:t>
                          </w:r>
                        </w:p>
                        <w:p/>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144pt;width:144pt;mso-position-horizontal:inside;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Z5ZLvboBAACGAwAADgAAAAAAAAABACAAAAAiAQAAZHJzL2Uyb0RvYy54bWxQSwUGAAAA&#10;AAYABgBZAQAATgUAAAAA&#10;">
              <v:fill on="f" focussize="0,0"/>
              <v:stroke on="f"/>
              <v:imagedata o:title=""/>
              <o:lock v:ext="edit" aspectratio="f"/>
              <v:textbox>
                <w:txbxContent>
                  <w:p>
                    <w:pPr>
                      <w:pStyle w:val="12"/>
                      <w:tabs>
                        <w:tab w:val="clear" w:pos="4153"/>
                        <w:tab w:val="clear" w:pos="8306"/>
                      </w:tabs>
                      <w:rPr>
                        <w:rFonts w:hint="eastAsia" w:ascii="宋体" w:hAnsi="宋体"/>
                        <w:sz w:val="32"/>
                        <w:szCs w:val="32"/>
                      </w:rPr>
                    </w:pPr>
                    <w:r>
                      <w:rPr>
                        <w:rFonts w:hint="eastAsia" w:ascii="宋体" w:hAnsi="宋体"/>
                        <w:sz w:val="32"/>
                        <w:szCs w:val="32"/>
                      </w:rPr>
                      <w:t xml:space="preserve">— </w:t>
                    </w:r>
                    <w:r>
                      <w:rPr>
                        <w:rFonts w:hint="eastAsia" w:ascii="宋体" w:hAnsi="宋体"/>
                        <w:sz w:val="32"/>
                        <w:szCs w:val="32"/>
                      </w:rPr>
                      <w:fldChar w:fldCharType="begin"/>
                    </w:r>
                    <w:r>
                      <w:rPr>
                        <w:rFonts w:hint="eastAsia" w:ascii="宋体" w:hAnsi="宋体"/>
                        <w:sz w:val="32"/>
                        <w:szCs w:val="32"/>
                      </w:rPr>
                      <w:instrText xml:space="preserve"> PAGE  \* MERGEFORMAT </w:instrText>
                    </w:r>
                    <w:r>
                      <w:rPr>
                        <w:rFonts w:hint="eastAsia" w:ascii="宋体" w:hAnsi="宋体"/>
                        <w:sz w:val="32"/>
                        <w:szCs w:val="32"/>
                      </w:rPr>
                      <w:fldChar w:fldCharType="separate"/>
                    </w:r>
                    <w:r>
                      <w:rPr>
                        <w:rFonts w:ascii="宋体" w:hAnsi="宋体"/>
                        <w:sz w:val="32"/>
                        <w:szCs w:val="32"/>
                      </w:rPr>
                      <w:t>2</w:t>
                    </w:r>
                    <w:r>
                      <w:rPr>
                        <w:rFonts w:hint="eastAsia" w:ascii="宋体" w:hAnsi="宋体"/>
                        <w:sz w:val="32"/>
                        <w:szCs w:val="32"/>
                      </w:rPr>
                      <w:fldChar w:fldCharType="end"/>
                    </w:r>
                    <w:r>
                      <w:rPr>
                        <w:rFonts w:hint="eastAsia" w:ascii="宋体" w:hAnsi="宋体"/>
                        <w:sz w:val="32"/>
                        <w:szCs w:val="32"/>
                      </w:rPr>
                      <w:t xml:space="preserve"> —</w:t>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1"/>
  </w:compat>
  <w:docVars>
    <w:docVar w:name="commondata" w:val="eyJoZGlkIjoiOTkzOTkwYzFhZjViYzQ4MGZjMjIzNzI3NTNiNzY4YTMifQ=="/>
  </w:docVars>
  <w:rsids>
    <w:rsidRoot w:val="00000000"/>
    <w:rsid w:val="02CD599B"/>
    <w:rsid w:val="04575F38"/>
    <w:rsid w:val="05282FCE"/>
    <w:rsid w:val="06D839BD"/>
    <w:rsid w:val="0DCF2F9A"/>
    <w:rsid w:val="0E850B3F"/>
    <w:rsid w:val="141B6690"/>
    <w:rsid w:val="17160302"/>
    <w:rsid w:val="18C2605D"/>
    <w:rsid w:val="1C4E5356"/>
    <w:rsid w:val="1E8D58B7"/>
    <w:rsid w:val="248D6154"/>
    <w:rsid w:val="30F42BC0"/>
    <w:rsid w:val="345A43CB"/>
    <w:rsid w:val="356E62BA"/>
    <w:rsid w:val="3DAA44AE"/>
    <w:rsid w:val="3DB50FFF"/>
    <w:rsid w:val="3E5A2590"/>
    <w:rsid w:val="3ED44127"/>
    <w:rsid w:val="451E1C69"/>
    <w:rsid w:val="48770E40"/>
    <w:rsid w:val="49663AF5"/>
    <w:rsid w:val="49DA25F4"/>
    <w:rsid w:val="4D2C7EA7"/>
    <w:rsid w:val="4D4A68A0"/>
    <w:rsid w:val="4E2E7DC8"/>
    <w:rsid w:val="4ECF6A85"/>
    <w:rsid w:val="52AD39D8"/>
    <w:rsid w:val="545A361F"/>
    <w:rsid w:val="56507F39"/>
    <w:rsid w:val="57DA7B88"/>
    <w:rsid w:val="58287DD2"/>
    <w:rsid w:val="5A3910C8"/>
    <w:rsid w:val="5CC42FBD"/>
    <w:rsid w:val="5EB86749"/>
    <w:rsid w:val="5F105C3D"/>
    <w:rsid w:val="62474E8E"/>
    <w:rsid w:val="6A3D2E79"/>
    <w:rsid w:val="6B3C249D"/>
    <w:rsid w:val="6D415B5B"/>
    <w:rsid w:val="707B0D59"/>
    <w:rsid w:val="70893AA1"/>
    <w:rsid w:val="71E8390E"/>
    <w:rsid w:val="78AA0A59"/>
    <w:rsid w:val="7CDA0416"/>
    <w:rsid w:val="7E654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1"/>
    <w:basedOn w:val="1"/>
    <w:autoRedefine/>
    <w:qFormat/>
    <w:uiPriority w:val="0"/>
    <w:pPr>
      <w:keepNext/>
      <w:keepLines/>
      <w:spacing w:beforeAutospacing="0" w:afterAutospacing="0" w:line="576" w:lineRule="auto"/>
      <w:outlineLvl w:val="0"/>
    </w:pPr>
    <w:rPr>
      <w:b/>
      <w:kern w:val="44"/>
      <w:sz w:val="44"/>
    </w:rPr>
  </w:style>
  <w:style w:type="paragraph" w:customStyle="1" w:styleId="7">
    <w:name w:val="标题 21"/>
    <w:basedOn w:val="1"/>
    <w:uiPriority w:val="0"/>
    <w:pPr>
      <w:keepNext/>
      <w:keepLines/>
      <w:spacing w:before="260" w:after="260" w:line="415" w:lineRule="auto"/>
      <w:outlineLvl w:val="1"/>
    </w:pPr>
    <w:rPr>
      <w:rFonts w:ascii="等线 Light" w:hAnsi="等线 Light" w:eastAsia="等线 Light"/>
      <w:b/>
      <w:bCs/>
      <w:sz w:val="32"/>
      <w:szCs w:val="32"/>
    </w:rPr>
  </w:style>
  <w:style w:type="character" w:customStyle="1" w:styleId="8">
    <w:name w:val="默认段落字体11"/>
    <w:link w:val="1"/>
    <w:semiHidden/>
    <w:uiPriority w:val="0"/>
  </w:style>
  <w:style w:type="table" w:customStyle="1" w:styleId="9">
    <w:name w:val="普通表格11"/>
    <w:autoRedefine/>
    <w:semiHidden/>
    <w:qFormat/>
    <w:uiPriority w:val="0"/>
  </w:style>
  <w:style w:type="paragraph" w:customStyle="1" w:styleId="10">
    <w:name w:val="正文文本1"/>
    <w:basedOn w:val="1"/>
    <w:autoRedefine/>
    <w:qFormat/>
    <w:uiPriority w:val="0"/>
    <w:pPr>
      <w:tabs>
        <w:tab w:val="left" w:pos="2250"/>
      </w:tabs>
      <w:jc w:val="center"/>
    </w:pPr>
    <w:rPr>
      <w:color w:val="FF0000"/>
      <w:sz w:val="144"/>
    </w:rPr>
  </w:style>
  <w:style w:type="paragraph" w:customStyle="1" w:styleId="11">
    <w:name w:val="纯文本1"/>
    <w:basedOn w:val="1"/>
    <w:uiPriority w:val="0"/>
    <w:rPr>
      <w:rFonts w:ascii="宋体" w:hAnsi="Courier New"/>
      <w:szCs w:val="21"/>
    </w:rPr>
  </w:style>
  <w:style w:type="paragraph" w:customStyle="1" w:styleId="12">
    <w:name w:val="页脚11"/>
    <w:basedOn w:val="1"/>
    <w:autoRedefine/>
    <w:qFormat/>
    <w:uiPriority w:val="0"/>
    <w:pPr>
      <w:tabs>
        <w:tab w:val="center" w:pos="4153"/>
        <w:tab w:val="right" w:pos="8306"/>
      </w:tabs>
      <w:snapToGrid w:val="0"/>
      <w:jc w:val="left"/>
    </w:pPr>
    <w:rPr>
      <w:sz w:val="18"/>
    </w:rPr>
  </w:style>
  <w:style w:type="paragraph" w:customStyle="1" w:styleId="13">
    <w:name w:val="页眉11"/>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4">
    <w:name w:val="普通(网站)1"/>
    <w:basedOn w:val="1"/>
    <w:autoRedefine/>
    <w:qFormat/>
    <w:uiPriority w:val="0"/>
    <w:pPr>
      <w:spacing w:before="100" w:beforeAutospacing="1" w:after="100" w:afterAutospacing="1"/>
      <w:ind w:left="0" w:right="0"/>
      <w:jc w:val="left"/>
    </w:pPr>
    <w:rPr>
      <w:kern w:val="0"/>
      <w:sz w:val="24"/>
      <w:lang w:val="en-US" w:eastAsia="zh-CN" w:bidi="ar"/>
    </w:rPr>
  </w:style>
  <w:style w:type="table" w:customStyle="1" w:styleId="15">
    <w:name w:val="网格型1"/>
    <w:autoRedefine/>
    <w:qFormat/>
    <w:uiPriority w:val="0"/>
    <w:pPr>
      <w:widowControl w:val="0"/>
      <w:jc w:val="both"/>
    </w:pPr>
  </w:style>
  <w:style w:type="character" w:customStyle="1" w:styleId="16">
    <w:name w:val="要点1"/>
    <w:basedOn w:val="8"/>
    <w:link w:val="1"/>
    <w:autoRedefine/>
    <w:qFormat/>
    <w:uiPriority w:val="0"/>
    <w:rPr>
      <w:b/>
    </w:rPr>
  </w:style>
  <w:style w:type="character" w:customStyle="1" w:styleId="17">
    <w:name w:val="页码1"/>
    <w:link w:val="1"/>
    <w:uiPriority w:val="0"/>
  </w:style>
  <w:style w:type="character" w:customStyle="1" w:styleId="18">
    <w:name w:val="强调1"/>
    <w:basedOn w:val="8"/>
    <w:link w:val="1"/>
    <w:autoRedefine/>
    <w:qFormat/>
    <w:uiPriority w:val="0"/>
    <w:rPr>
      <w:i/>
    </w:rPr>
  </w:style>
  <w:style w:type="character" w:customStyle="1" w:styleId="19">
    <w:name w:val="默认段落字体1"/>
    <w:link w:val="1"/>
    <w:autoRedefine/>
    <w:semiHidden/>
    <w:qFormat/>
    <w:uiPriority w:val="0"/>
  </w:style>
  <w:style w:type="table" w:customStyle="1" w:styleId="20">
    <w:name w:val="普通表格1"/>
    <w:autoRedefine/>
    <w:semiHidden/>
    <w:qFormat/>
    <w:uiPriority w:val="0"/>
  </w:style>
  <w:style w:type="paragraph" w:customStyle="1" w:styleId="21">
    <w:name w:val="页眉1"/>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beforeAutospacing="0" w:afterAutospacing="0" w:line="240" w:lineRule="auto"/>
      <w:jc w:val="both"/>
      <w:outlineLvl w:val="9"/>
    </w:pPr>
    <w:rPr>
      <w:sz w:val="18"/>
    </w:rPr>
  </w:style>
  <w:style w:type="paragraph" w:customStyle="1" w:styleId="22">
    <w:name w:val="页脚1"/>
    <w:basedOn w:val="1"/>
    <w:autoRedefine/>
    <w:qFormat/>
    <w:uiPriority w:val="0"/>
    <w:pPr>
      <w:tabs>
        <w:tab w:val="center" w:pos="4153"/>
        <w:tab w:val="right" w:pos="8306"/>
      </w:tabs>
      <w:snapToGrid w:val="0"/>
      <w:jc w:val="left"/>
    </w:pPr>
    <w:rPr>
      <w:sz w:val="18"/>
    </w:rPr>
  </w:style>
  <w:style w:type="paragraph" w:customStyle="1" w:styleId="23">
    <w:name w:val="公文标题"/>
    <w:basedOn w:val="6"/>
    <w:uiPriority w:val="0"/>
    <w:pPr>
      <w:snapToGrid w:val="0"/>
      <w:spacing w:before="20" w:beforeAutospacing="0" w:after="20" w:afterAutospacing="0" w:line="600" w:lineRule="exact"/>
      <w:jc w:val="center"/>
    </w:pPr>
    <w:rPr>
      <w:rFonts w:hint="eastAsia" w:ascii="方正小标宋简体" w:hAnsi="方正小标宋简体" w:eastAsia="方正小标宋简体"/>
      <w:b w:val="0"/>
      <w:sz w:val="44"/>
      <w:szCs w:val="48"/>
      <w:lang w:bidi="ar"/>
    </w:rPr>
  </w:style>
  <w:style w:type="paragraph" w:customStyle="1" w:styleId="24">
    <w:name w:val="公文正文"/>
    <w:basedOn w:val="1"/>
    <w:autoRedefine/>
    <w:uiPriority w:val="0"/>
    <w:pPr>
      <w:spacing w:line="600" w:lineRule="exact"/>
      <w:ind w:firstLine="1196" w:firstLineChars="200"/>
    </w:pPr>
    <w:rPr>
      <w:rFonts w:ascii="宋体" w:hAnsi="宋体" w:eastAsia="仿宋_GB2312"/>
      <w:sz w:val="32"/>
      <w:szCs w:val="22"/>
    </w:rPr>
  </w:style>
  <w:style w:type="character" w:customStyle="1" w:styleId="25">
    <w:name w:val="NormalCharacter"/>
    <w:link w:val="1"/>
    <w:autoRedefine/>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2024-02-25T07:12:00Z</dcterms:created>
  <dc:creator>李杰</dc:creator>
  <cp:lastModifiedBy>没有</cp:lastModifiedBy>
  <cp:lastPrinted>2024-03-12T07:35:45Z</cp:lastPrinted>
  <dcterms:modified xsi:type="dcterms:W3CDTF">2024-03-12T07:36:15Z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59EEB32FD7AC4EFE93D1D5CCF7BBECF6_12</vt:lpwstr>
  </property>
</Properties>
</file>